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8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华文中宋" w:hAnsi="华文中宋" w:eastAsia="华文中宋" w:cs="宋体"/>
          <w:b/>
          <w:kern w:val="0"/>
          <w:sz w:val="52"/>
          <w:szCs w:val="52"/>
        </w:rPr>
      </w:pPr>
    </w:p>
    <w:p>
      <w:pPr>
        <w:spacing w:line="48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480" w:lineRule="exact"/>
        <w:jc w:val="center"/>
        <w:rPr>
          <w:rFonts w:ascii="华文中宋" w:hAnsi="华文中宋" w:eastAsia="华文中宋" w:cs="宋体"/>
          <w:b/>
          <w:kern w:val="0"/>
          <w:sz w:val="52"/>
          <w:szCs w:val="52"/>
        </w:rPr>
      </w:pPr>
    </w:p>
    <w:p>
      <w:pPr>
        <w:spacing w:line="48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Ansi="宋体" w:eastAsia="仿宋_GB2312" w:cs="宋体"/>
          <w:kern w:val="0"/>
          <w:sz w:val="36"/>
          <w:szCs w:val="36"/>
        </w:rPr>
        <w:t>2018</w:t>
      </w:r>
      <w:r>
        <w:rPr>
          <w:rFonts w:hint="eastAsia" w:hAnsi="宋体" w:eastAsia="仿宋_GB2312" w:cs="宋体"/>
          <w:kern w:val="0"/>
          <w:sz w:val="36"/>
          <w:szCs w:val="36"/>
        </w:rPr>
        <w:t>年度）</w:t>
      </w: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rPr>
          <w:rFonts w:hAnsi="宋体" w:eastAsia="仿宋_GB2312" w:cs="宋体"/>
          <w:kern w:val="0"/>
          <w:sz w:val="30"/>
          <w:szCs w:val="30"/>
        </w:rPr>
      </w:pPr>
    </w:p>
    <w:p>
      <w:pPr>
        <w:spacing w:line="480" w:lineRule="exact"/>
        <w:ind w:left="2520" w:hanging="2520" w:hangingChars="700"/>
        <w:jc w:val="left"/>
        <w:rPr>
          <w:rFonts w:hint="eastAsia" w:ascii="仿宋_GB2312" w:hAnsi="仿宋_GB2312" w:eastAsia="仿宋_GB2312" w:cs="仿宋_GB2312"/>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6"/>
          <w:szCs w:val="36"/>
        </w:rPr>
        <w:t>玛纳斯县不动产登记平台及数据</w:t>
      </w:r>
    </w:p>
    <w:p>
      <w:pPr>
        <w:spacing w:line="480" w:lineRule="exact"/>
        <w:ind w:left="2514" w:leftChars="1197" w:firstLine="360" w:firstLineChars="1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sz w:val="36"/>
          <w:szCs w:val="36"/>
        </w:rPr>
        <w:t>库建设项目</w:t>
      </w:r>
    </w:p>
    <w:p>
      <w:pPr>
        <w:spacing w:line="48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玛纳斯县国土资源局</w:t>
      </w:r>
    </w:p>
    <w:p>
      <w:pPr>
        <w:spacing w:line="48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玛纳斯县国土资源局</w:t>
      </w:r>
    </w:p>
    <w:p>
      <w:pPr>
        <w:spacing w:line="48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吴永生</w:t>
      </w:r>
    </w:p>
    <w:p>
      <w:pPr>
        <w:spacing w:line="48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2019年</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p>
    <w:p>
      <w:pPr>
        <w:spacing w:line="480" w:lineRule="exact"/>
        <w:jc w:val="center"/>
        <w:rPr>
          <w:rFonts w:hAnsi="宋体" w:eastAsia="仿宋_GB2312" w:cs="宋体"/>
          <w:kern w:val="0"/>
          <w:sz w:val="30"/>
          <w:szCs w:val="30"/>
        </w:rPr>
      </w:pPr>
      <w:bookmarkStart w:id="0" w:name="_GoBack"/>
      <w:bookmarkEnd w:id="0"/>
    </w:p>
    <w:p>
      <w:pPr>
        <w:spacing w:line="480" w:lineRule="exact"/>
        <w:jc w:val="center"/>
        <w:rPr>
          <w:rFonts w:hAnsi="宋体" w:eastAsia="仿宋_GB2312" w:cs="宋体"/>
          <w:kern w:val="0"/>
          <w:sz w:val="30"/>
          <w:szCs w:val="30"/>
        </w:rPr>
      </w:pPr>
    </w:p>
    <w:p>
      <w:pPr>
        <w:spacing w:line="480" w:lineRule="exact"/>
        <w:rPr>
          <w:rStyle w:val="5"/>
          <w:rFonts w:ascii="黑体" w:hAnsi="黑体" w:eastAsia="黑体"/>
          <w:b w:val="0"/>
          <w:spacing w:val="-4"/>
          <w:sz w:val="32"/>
          <w:szCs w:val="32"/>
        </w:rPr>
      </w:pPr>
    </w:p>
    <w:p>
      <w:pPr>
        <w:spacing w:line="480" w:lineRule="exact"/>
        <w:ind w:firstLine="640"/>
        <w:rPr>
          <w:rStyle w:val="5"/>
          <w:rFonts w:hint="eastAsia" w:ascii="黑体" w:hAnsi="黑体" w:eastAsia="黑体"/>
          <w:spacing w:val="-4"/>
          <w:sz w:val="32"/>
          <w:szCs w:val="32"/>
        </w:rPr>
      </w:pPr>
    </w:p>
    <w:p>
      <w:pPr>
        <w:spacing w:line="480" w:lineRule="exact"/>
        <w:ind w:firstLine="640"/>
        <w:rPr>
          <w:rStyle w:val="5"/>
          <w:rFonts w:hint="eastAsia" w:ascii="黑体" w:hAnsi="黑体" w:eastAsia="黑体"/>
          <w:spacing w:val="-4"/>
          <w:sz w:val="32"/>
          <w:szCs w:val="32"/>
        </w:rPr>
      </w:pPr>
    </w:p>
    <w:p>
      <w:pPr>
        <w:spacing w:line="480" w:lineRule="exact"/>
        <w:ind w:firstLine="640"/>
        <w:rPr>
          <w:rStyle w:val="5"/>
          <w:rFonts w:hint="eastAsia" w:ascii="黑体" w:hAnsi="黑体" w:eastAsia="黑体"/>
          <w:spacing w:val="-4"/>
          <w:sz w:val="32"/>
          <w:szCs w:val="32"/>
        </w:rPr>
      </w:pP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一、项目概况</w:t>
      </w:r>
    </w:p>
    <w:p>
      <w:pPr>
        <w:spacing w:line="48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spacing w:line="480" w:lineRule="exact"/>
        <w:ind w:firstLine="579" w:firstLineChars="181"/>
        <w:rPr>
          <w:rFonts w:hint="eastAsia" w:ascii="仿宋_GB2312" w:hAnsi="黑体" w:eastAsia="仿宋_GB2312"/>
          <w:sz w:val="32"/>
          <w:szCs w:val="32"/>
        </w:rPr>
      </w:pPr>
      <w:r>
        <w:rPr>
          <w:rFonts w:hint="eastAsia" w:ascii="仿宋_GB2312" w:hAnsi="黑体" w:eastAsia="仿宋_GB2312"/>
          <w:sz w:val="32"/>
          <w:szCs w:val="32"/>
        </w:rPr>
        <w:t>北京天耀宏图科技有限公司是一家专业从事云GIS、大数据产品研究与应用服务的自主创新型集团公司，是目前国家第四代大型云GIS平台提供单位。 公司拥有多项完全自主知识产权的时空数据挖掘领域相关核心技术，服务于国土地理信息行业多年。</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pPr>
        <w:spacing w:line="480" w:lineRule="exact"/>
        <w:ind w:firstLine="579" w:firstLineChars="181"/>
        <w:rPr>
          <w:rStyle w:val="5"/>
          <w:rFonts w:ascii="仿宋" w:hAnsi="仿宋" w:eastAsia="仿宋"/>
          <w:b w:val="0"/>
          <w:spacing w:val="-4"/>
          <w:sz w:val="32"/>
          <w:szCs w:val="32"/>
        </w:rPr>
      </w:pPr>
      <w:r>
        <w:rPr>
          <w:rFonts w:hint="eastAsia" w:ascii="仿宋_GB2312" w:hAnsi="黑体" w:eastAsia="仿宋_GB2312"/>
          <w:sz w:val="32"/>
          <w:szCs w:val="32"/>
        </w:rPr>
        <w:t>不动产登记数据库管理系统；不动产登记权籍调查成果管理系统；不动产登记信息管理系统；不动产登记档案管理系统；不动产登记信息汇交与监管系统；不动产登记信息共享查询分析系统；玛纳斯县不动产数据整合；实现与国土资源系统借口对接。</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二、项目资金使用及管理情况</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spacing w:line="480" w:lineRule="exact"/>
        <w:ind w:firstLine="640" w:firstLineChars="200"/>
        <w:rPr>
          <w:rStyle w:val="5"/>
          <w:rFonts w:ascii="仿宋" w:hAnsi="仿宋" w:eastAsia="仿宋"/>
          <w:b w:val="0"/>
          <w:spacing w:val="-4"/>
          <w:sz w:val="32"/>
          <w:szCs w:val="32"/>
        </w:rPr>
      </w:pPr>
      <w:r>
        <w:rPr>
          <w:rFonts w:ascii="仿宋_GB2312" w:hAnsi="黑体" w:eastAsia="仿宋_GB2312"/>
          <w:sz w:val="32"/>
          <w:szCs w:val="32"/>
        </w:rPr>
        <w:t>2018年度安排</w:t>
      </w:r>
      <w:r>
        <w:rPr>
          <w:rFonts w:hint="eastAsia" w:ascii="仿宋_GB2312" w:hAnsi="黑体" w:eastAsia="仿宋_GB2312"/>
          <w:sz w:val="32"/>
          <w:szCs w:val="32"/>
        </w:rPr>
        <w:t>项目资金</w:t>
      </w:r>
      <w:r>
        <w:rPr>
          <w:rFonts w:ascii="仿宋_GB2312" w:hAnsi="黑体" w:eastAsia="仿宋_GB2312"/>
          <w:sz w:val="32"/>
          <w:szCs w:val="32"/>
        </w:rPr>
        <w:t>54.6万元</w:t>
      </w:r>
      <w:r>
        <w:rPr>
          <w:rFonts w:hint="eastAsia" w:ascii="仿宋_GB2312" w:hAnsi="黑体" w:eastAsia="仿宋_GB2312"/>
          <w:sz w:val="32"/>
          <w:szCs w:val="32"/>
        </w:rPr>
        <w:t>，县本级财政配套</w:t>
      </w:r>
      <w:r>
        <w:rPr>
          <w:rFonts w:ascii="仿宋_GB2312" w:hAnsi="黑体" w:eastAsia="仿宋_GB2312"/>
          <w:sz w:val="32"/>
          <w:szCs w:val="32"/>
        </w:rPr>
        <w:t>54.6</w:t>
      </w:r>
      <w:r>
        <w:rPr>
          <w:rFonts w:hint="eastAsia" w:ascii="仿宋_GB2312" w:hAnsi="黑体" w:eastAsia="仿宋_GB2312"/>
          <w:sz w:val="32"/>
          <w:szCs w:val="32"/>
        </w:rPr>
        <w:t>万元，</w:t>
      </w:r>
      <w:r>
        <w:rPr>
          <w:rFonts w:ascii="仿宋_GB2312" w:hAnsi="黑体" w:eastAsia="仿宋_GB2312"/>
          <w:sz w:val="32"/>
          <w:szCs w:val="32"/>
        </w:rPr>
        <w:t>无自筹资金</w:t>
      </w:r>
      <w:r>
        <w:rPr>
          <w:rFonts w:hint="eastAsia" w:ascii="仿宋_GB2312" w:hAnsi="黑体" w:eastAsia="仿宋_GB2312"/>
          <w:sz w:val="32"/>
          <w:szCs w:val="32"/>
        </w:rPr>
        <w:t>。</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spacing w:line="480" w:lineRule="exact"/>
        <w:ind w:firstLine="640" w:firstLineChars="200"/>
        <w:rPr>
          <w:rFonts w:ascii="仿宋_GB2312" w:hAnsi="黑体" w:eastAsia="仿宋_GB2312"/>
          <w:bCs/>
          <w:sz w:val="32"/>
          <w:szCs w:val="32"/>
        </w:rPr>
      </w:pPr>
      <w:r>
        <w:rPr>
          <w:rFonts w:hint="eastAsia" w:ascii="仿宋_GB2312" w:hAnsi="黑体" w:eastAsia="仿宋_GB2312"/>
          <w:sz w:val="32"/>
          <w:szCs w:val="32"/>
        </w:rPr>
        <w:t>财政安排资金</w:t>
      </w:r>
      <w:r>
        <w:rPr>
          <w:rFonts w:ascii="仿宋_GB2312" w:hAnsi="黑体" w:eastAsia="仿宋_GB2312"/>
          <w:sz w:val="32"/>
          <w:szCs w:val="32"/>
        </w:rPr>
        <w:t>54.6万元</w:t>
      </w:r>
      <w:r>
        <w:rPr>
          <w:rFonts w:hint="eastAsia" w:ascii="仿宋_GB2312" w:hAnsi="黑体" w:eastAsia="仿宋_GB2312"/>
          <w:sz w:val="32"/>
          <w:szCs w:val="32"/>
        </w:rPr>
        <w:t>，主要用于不动产数据整合、不动产登记信息汇交与监管系统及不动产登记信息共享查询分析系统建设。</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按照该项目单位财务有关规定严格执行。</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三、项目组织实施情况</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该项目于</w:t>
      </w:r>
      <w:r>
        <w:rPr>
          <w:rFonts w:ascii="仿宋_GB2312" w:hAnsi="黑体" w:eastAsia="仿宋_GB2312"/>
          <w:sz w:val="32"/>
          <w:szCs w:val="32"/>
        </w:rPr>
        <w:t>2016年09</w:t>
      </w:r>
      <w:r>
        <w:rPr>
          <w:rFonts w:hint="eastAsia" w:ascii="仿宋_GB2312" w:hAnsi="黑体" w:eastAsia="仿宋_GB2312"/>
          <w:sz w:val="32"/>
          <w:szCs w:val="32"/>
        </w:rPr>
        <w:t>月由玛纳斯县财政局组织公开招标， 2</w:t>
      </w:r>
      <w:r>
        <w:rPr>
          <w:rFonts w:ascii="仿宋_GB2312" w:hAnsi="黑体" w:eastAsia="仿宋_GB2312"/>
          <w:sz w:val="32"/>
          <w:szCs w:val="32"/>
        </w:rPr>
        <w:t>018年</w:t>
      </w:r>
      <w:r>
        <w:rPr>
          <w:rFonts w:hint="eastAsia" w:ascii="仿宋_GB2312" w:hAnsi="黑体" w:eastAsia="仿宋_GB2312"/>
          <w:sz w:val="32"/>
          <w:szCs w:val="32"/>
        </w:rPr>
        <w:t>底前</w:t>
      </w:r>
      <w:r>
        <w:rPr>
          <w:rFonts w:ascii="仿宋_GB2312" w:hAnsi="黑体" w:eastAsia="仿宋_GB2312"/>
          <w:sz w:val="32"/>
          <w:szCs w:val="32"/>
        </w:rPr>
        <w:t>完成</w:t>
      </w:r>
      <w:r>
        <w:rPr>
          <w:rFonts w:hint="eastAsia" w:ascii="仿宋_GB2312" w:hAnsi="黑体" w:eastAsia="仿宋_GB2312"/>
          <w:sz w:val="32"/>
          <w:szCs w:val="32"/>
        </w:rPr>
        <w:t>不动产数据整合、不动产登记信息汇交与监管系统及不动产登记信息共享查询分析系统建设。</w:t>
      </w:r>
    </w:p>
    <w:p>
      <w:pPr>
        <w:spacing w:line="48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pPr>
        <w:spacing w:line="480" w:lineRule="exact"/>
        <w:ind w:firstLine="640" w:firstLineChars="200"/>
        <w:rPr>
          <w:rStyle w:val="5"/>
          <w:rFonts w:ascii="仿宋" w:hAnsi="仿宋" w:eastAsia="仿宋"/>
          <w:b w:val="0"/>
          <w:spacing w:val="-4"/>
          <w:sz w:val="32"/>
          <w:szCs w:val="32"/>
        </w:rPr>
      </w:pPr>
      <w:r>
        <w:rPr>
          <w:rFonts w:hint="eastAsia" w:ascii="仿宋_GB2312" w:hAnsi="黑体" w:eastAsia="仿宋_GB2312"/>
          <w:sz w:val="32"/>
          <w:szCs w:val="32"/>
        </w:rPr>
        <w:t>该项目自实施以来，县国土资源局通过对各系统在实际运用过程中操作便捷性、实用性、安全性等方面定期进行评价，反馈问题能够及时得到修改和完善，确保项目质量达到预期效果。</w:t>
      </w:r>
    </w:p>
    <w:p>
      <w:pPr>
        <w:spacing w:line="480" w:lineRule="exact"/>
        <w:ind w:firstLine="640"/>
        <w:rPr>
          <w:rStyle w:val="5"/>
          <w:rFonts w:ascii="黑体" w:hAnsi="黑体" w:eastAsia="黑体"/>
          <w:sz w:val="32"/>
          <w:szCs w:val="32"/>
        </w:rPr>
      </w:pPr>
      <w:r>
        <w:rPr>
          <w:rStyle w:val="5"/>
          <w:rFonts w:hint="eastAsia" w:ascii="黑体" w:hAnsi="黑体" w:eastAsia="黑体"/>
          <w:spacing w:val="-4"/>
          <w:sz w:val="32"/>
          <w:szCs w:val="32"/>
        </w:rPr>
        <w:t>四、项目绩效情况</w:t>
      </w:r>
      <w:r>
        <w:rPr>
          <w:rStyle w:val="5"/>
          <w:rFonts w:hint="eastAsia" w:ascii="黑体" w:hAnsi="黑体" w:eastAsia="黑体"/>
          <w:sz w:val="32"/>
          <w:szCs w:val="32"/>
        </w:rPr>
        <w:t xml:space="preserve"> </w:t>
      </w:r>
    </w:p>
    <w:p>
      <w:pPr>
        <w:spacing w:line="48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480" w:lineRule="exact"/>
        <w:ind w:firstLine="579" w:firstLineChars="181"/>
        <w:rPr>
          <w:rStyle w:val="5"/>
          <w:rFonts w:ascii="仿宋" w:hAnsi="仿宋" w:eastAsia="仿宋"/>
          <w:b w:val="0"/>
          <w:spacing w:val="-4"/>
          <w:sz w:val="32"/>
          <w:szCs w:val="32"/>
        </w:rPr>
      </w:pPr>
      <w:r>
        <w:rPr>
          <w:rFonts w:hint="eastAsia" w:ascii="仿宋_GB2312" w:hAnsi="黑体" w:eastAsia="仿宋_GB2312"/>
          <w:sz w:val="32"/>
          <w:szCs w:val="32"/>
        </w:rPr>
        <w:t>实现了登记业务的申请、受理、审批、缮证、收费、发证等业务流程的一站式办理；实现了不动产登记只进一扇门，只收一套材料，最多跑一次的目标；通过各类登记，有效保障了产权人的合法权益；为下一步实行自然资源统一确权登记奠定了坚实的基础。</w:t>
      </w:r>
    </w:p>
    <w:p>
      <w:pPr>
        <w:spacing w:line="48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480" w:lineRule="exact"/>
        <w:ind w:firstLine="564" w:firstLineChars="181"/>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依据招标方案及不动产平台推进计划，该项目2018年度全年已完成项目绩效目标。</w:t>
      </w:r>
    </w:p>
    <w:p>
      <w:pPr>
        <w:spacing w:line="48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spacing w:val="-4"/>
          <w:sz w:val="32"/>
          <w:szCs w:val="32"/>
        </w:rPr>
        <w:t>五、其他需要说明的问题</w:t>
      </w:r>
    </w:p>
    <w:p>
      <w:pPr>
        <w:spacing w:line="48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（一）后续工作计划</w:t>
      </w:r>
    </w:p>
    <w:p>
      <w:pPr>
        <w:spacing w:line="480" w:lineRule="exact"/>
        <w:ind w:firstLine="564"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spacing w:val="-4"/>
          <w:sz w:val="32"/>
          <w:szCs w:val="32"/>
        </w:rPr>
        <w:t>按照计划，2019年6月前完成完成</w:t>
      </w:r>
      <w:r>
        <w:rPr>
          <w:rFonts w:hint="eastAsia" w:ascii="仿宋_GB2312" w:hAnsi="仿宋_GB2312" w:eastAsia="仿宋_GB2312" w:cs="仿宋_GB2312"/>
          <w:sz w:val="32"/>
          <w:szCs w:val="32"/>
        </w:rPr>
        <w:t>实现与国土资源系统接口对接。</w:t>
      </w:r>
      <w:r>
        <w:rPr>
          <w:rFonts w:hint="eastAsia" w:ascii="仿宋_GB2312" w:hAnsi="仿宋_GB2312" w:eastAsia="仿宋_GB2312" w:cs="仿宋_GB2312"/>
          <w:spacing w:val="-4"/>
          <w:sz w:val="32"/>
          <w:szCs w:val="32"/>
        </w:rPr>
        <w:t>至此，该项目招标建设内容将全部完成，可竣工。</w:t>
      </w:r>
    </w:p>
    <w:p>
      <w:pPr>
        <w:spacing w:line="48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（二）主要经验及做法、存在问题和建议</w:t>
      </w:r>
    </w:p>
    <w:p>
      <w:pPr>
        <w:spacing w:line="4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1、系统平台在运用过程中要不断针对客户需要提出新的需求，反馈响应一定要及时；</w:t>
      </w:r>
    </w:p>
    <w:p>
      <w:pPr>
        <w:spacing w:line="480" w:lineRule="exact"/>
        <w:ind w:firstLine="579" w:firstLineChars="181"/>
        <w:rPr>
          <w:rFonts w:hint="eastAsia" w:ascii="仿宋_GB2312" w:hAnsi="仿宋_GB2312" w:eastAsia="仿宋_GB2312" w:cs="仿宋_GB2312"/>
          <w:spacing w:val="-4"/>
          <w:sz w:val="32"/>
          <w:szCs w:val="32"/>
        </w:rPr>
      </w:pPr>
      <w:r>
        <w:rPr>
          <w:rFonts w:hint="eastAsia" w:ascii="仿宋_GB2312" w:hAnsi="仿宋_GB2312" w:eastAsia="仿宋_GB2312" w:cs="仿宋_GB2312"/>
          <w:sz w:val="32"/>
          <w:szCs w:val="32"/>
        </w:rPr>
        <w:t>2、系统平台的运用要紧贴法规政策，增大软件平台的实用性和科学性。</w:t>
      </w:r>
    </w:p>
    <w:p>
      <w:pPr>
        <w:spacing w:line="480" w:lineRule="exact"/>
        <w:ind w:firstLine="640"/>
        <w:rPr>
          <w:rStyle w:val="5"/>
          <w:rFonts w:ascii="黑体" w:hAnsi="黑体" w:eastAsia="黑体"/>
          <w:b w:val="0"/>
          <w:spacing w:val="-4"/>
          <w:sz w:val="32"/>
          <w:szCs w:val="32"/>
        </w:rPr>
      </w:pPr>
      <w:r>
        <w:rPr>
          <w:rStyle w:val="5"/>
          <w:rFonts w:hint="eastAsia" w:ascii="黑体" w:hAnsi="黑体" w:eastAsia="黑体"/>
          <w:spacing w:val="-4"/>
          <w:sz w:val="32"/>
          <w:szCs w:val="32"/>
        </w:rPr>
        <w:t>六、项目评价工作情况</w:t>
      </w:r>
    </w:p>
    <w:p>
      <w:pPr>
        <w:spacing w:line="480" w:lineRule="exact"/>
        <w:ind w:firstLine="624" w:firstLineChars="200"/>
        <w:rPr>
          <w:rFonts w:ascii="仿宋_GB2312" w:eastAsia="仿宋_GB2312"/>
          <w:spacing w:val="-4"/>
          <w:sz w:val="32"/>
          <w:szCs w:val="32"/>
        </w:rPr>
      </w:pPr>
      <w:r>
        <w:rPr>
          <w:rFonts w:hint="eastAsia" w:ascii="仿宋_GB2312" w:eastAsia="仿宋_GB2312"/>
          <w:spacing w:val="-4"/>
          <w:sz w:val="32"/>
          <w:szCs w:val="32"/>
        </w:rPr>
        <w:t>该项目评价</w:t>
      </w:r>
      <w:r>
        <w:rPr>
          <w:rFonts w:hint="eastAsia" w:ascii="仿宋_GB2312" w:hAnsi="黑体" w:eastAsia="仿宋_GB2312"/>
          <w:sz w:val="32"/>
          <w:szCs w:val="32"/>
        </w:rPr>
        <w:t>严格按照招标文件执行，执行情况良好，</w:t>
      </w:r>
      <w:r>
        <w:rPr>
          <w:rFonts w:hint="eastAsia" w:ascii="仿宋_GB2312" w:eastAsia="仿宋_GB2312"/>
          <w:spacing w:val="-4"/>
          <w:sz w:val="32"/>
          <w:szCs w:val="32"/>
        </w:rPr>
        <w:t>数字准确，统计无误。</w:t>
      </w:r>
    </w:p>
    <w:p>
      <w:pPr>
        <w:spacing w:line="480" w:lineRule="exact"/>
        <w:ind w:firstLine="627" w:firstLineChars="200"/>
        <w:rPr>
          <w:rStyle w:val="5"/>
          <w:rFonts w:ascii="黑体" w:hAnsi="黑体" w:eastAsia="黑体"/>
          <w:b w:val="0"/>
          <w:spacing w:val="-4"/>
          <w:sz w:val="32"/>
          <w:szCs w:val="32"/>
        </w:rPr>
      </w:pPr>
      <w:r>
        <w:rPr>
          <w:rStyle w:val="5"/>
          <w:rFonts w:hint="eastAsia" w:ascii="黑体" w:hAnsi="黑体" w:eastAsia="黑体"/>
          <w:spacing w:val="-4"/>
          <w:sz w:val="32"/>
          <w:szCs w:val="32"/>
        </w:rPr>
        <w:t>七、附表</w:t>
      </w:r>
    </w:p>
    <w:p>
      <w:pPr>
        <w:spacing w:line="480" w:lineRule="exact"/>
        <w:ind w:firstLine="567"/>
        <w:rPr>
          <w:rStyle w:val="5"/>
          <w:rFonts w:ascii="仿宋" w:hAnsi="仿宋" w:eastAsia="仿宋"/>
          <w:b w:val="0"/>
          <w:spacing w:val="-4"/>
          <w:sz w:val="32"/>
          <w:szCs w:val="32"/>
        </w:rPr>
      </w:pPr>
      <w:r>
        <w:rPr>
          <w:rStyle w:val="5"/>
          <w:rFonts w:hint="eastAsia" w:ascii="仿宋" w:hAnsi="仿宋" w:eastAsia="仿宋"/>
          <w:spacing w:val="-4"/>
          <w:sz w:val="32"/>
          <w:szCs w:val="32"/>
        </w:rPr>
        <w:t>《玛纳斯财政项目支出绩效自评表》</w:t>
      </w:r>
    </w:p>
    <w:tbl>
      <w:tblPr>
        <w:tblStyle w:val="6"/>
        <w:tblW w:w="7987" w:type="dxa"/>
        <w:tblInd w:w="93" w:type="dxa"/>
        <w:tblLayout w:type="fixed"/>
        <w:tblCellMar>
          <w:top w:w="0" w:type="dxa"/>
          <w:left w:w="108" w:type="dxa"/>
          <w:bottom w:w="0" w:type="dxa"/>
          <w:right w:w="108" w:type="dxa"/>
        </w:tblCellMar>
      </w:tblPr>
      <w:tblGrid>
        <w:gridCol w:w="720"/>
        <w:gridCol w:w="855"/>
        <w:gridCol w:w="1026"/>
        <w:gridCol w:w="1559"/>
        <w:gridCol w:w="1559"/>
        <w:gridCol w:w="2268"/>
      </w:tblGrid>
      <w:tr>
        <w:tblPrEx>
          <w:tblLayout w:type="fixed"/>
          <w:tblCellMar>
            <w:top w:w="0" w:type="dxa"/>
            <w:left w:w="108" w:type="dxa"/>
            <w:bottom w:w="0" w:type="dxa"/>
            <w:right w:w="108" w:type="dxa"/>
          </w:tblCellMar>
        </w:tblPrEx>
        <w:trPr>
          <w:trHeight w:val="405" w:hRule="atLeast"/>
        </w:trPr>
        <w:tc>
          <w:tcPr>
            <w:tcW w:w="7987"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7987"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188" w:hRule="atLeast"/>
        </w:trPr>
        <w:tc>
          <w:tcPr>
            <w:tcW w:w="26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3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玛纳斯县不动产登记平台及数据库建设项目　</w:t>
            </w:r>
          </w:p>
        </w:tc>
      </w:tr>
      <w:tr>
        <w:tblPrEx>
          <w:tblLayout w:type="fixed"/>
          <w:tblCellMar>
            <w:top w:w="0" w:type="dxa"/>
            <w:left w:w="108" w:type="dxa"/>
            <w:bottom w:w="0" w:type="dxa"/>
            <w:right w:w="108" w:type="dxa"/>
          </w:tblCellMar>
        </w:tblPrEx>
        <w:trPr>
          <w:trHeight w:val="155" w:hRule="atLeast"/>
        </w:trPr>
        <w:tc>
          <w:tcPr>
            <w:tcW w:w="26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3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玛纳斯县国土资源局</w:t>
            </w:r>
          </w:p>
        </w:tc>
      </w:tr>
      <w:tr>
        <w:tblPrEx>
          <w:tblLayout w:type="fixed"/>
          <w:tblCellMar>
            <w:top w:w="0" w:type="dxa"/>
            <w:left w:w="108" w:type="dxa"/>
            <w:bottom w:w="0" w:type="dxa"/>
            <w:right w:w="108" w:type="dxa"/>
          </w:tblCellMar>
        </w:tblPrEx>
        <w:trPr>
          <w:trHeight w:val="259"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预算数：</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54.6</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r>
      <w:tr>
        <w:tblPrEx>
          <w:tblLayout w:type="fixed"/>
          <w:tblCellMar>
            <w:top w:w="0" w:type="dxa"/>
            <w:left w:w="108" w:type="dxa"/>
            <w:bottom w:w="0" w:type="dxa"/>
            <w:right w:w="108" w:type="dxa"/>
          </w:tblCellMar>
        </w:tblPrEx>
        <w:trPr>
          <w:trHeight w:val="363"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1559"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127"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54.6</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8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c>
          <w:tcPr>
            <w:tcW w:w="1559"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w:t>
            </w:r>
          </w:p>
        </w:tc>
      </w:tr>
      <w:tr>
        <w:tblPrEx>
          <w:tblLayout w:type="fixed"/>
          <w:tblCellMar>
            <w:top w:w="0" w:type="dxa"/>
            <w:left w:w="108" w:type="dxa"/>
            <w:bottom w:w="0" w:type="dxa"/>
            <w:right w:w="108" w:type="dxa"/>
          </w:tblCellMar>
        </w:tblPrEx>
        <w:trPr>
          <w:trHeight w:val="7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2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927"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440"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完成</w:t>
            </w:r>
            <w:r>
              <w:rPr>
                <w:rFonts w:hint="eastAsia" w:ascii="宋体" w:hAnsi="宋体" w:cs="宋体"/>
                <w:kern w:val="0"/>
                <w:sz w:val="20"/>
                <w:szCs w:val="20"/>
              </w:rPr>
              <w:t>不动产数据整合、不动产登记信息汇交与监管系统及不动产登记信息共享查询分析系统建设。</w:t>
            </w:r>
          </w:p>
        </w:tc>
        <w:tc>
          <w:tcPr>
            <w:tcW w:w="3827"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ascii="宋体" w:hAnsi="宋体" w:cs="宋体"/>
                <w:kern w:val="0"/>
                <w:sz w:val="20"/>
                <w:szCs w:val="20"/>
              </w:rPr>
              <w:t>完成</w:t>
            </w:r>
            <w:r>
              <w:rPr>
                <w:rFonts w:hint="eastAsia" w:ascii="宋体" w:hAnsi="宋体" w:cs="宋体"/>
                <w:kern w:val="0"/>
                <w:sz w:val="20"/>
                <w:szCs w:val="20"/>
              </w:rPr>
              <w:t>不动产数据整合、不动产登记信息汇交与监管系统及不动产登记信息共享查询分析系统建设。</w:t>
            </w:r>
          </w:p>
        </w:tc>
      </w:tr>
      <w:tr>
        <w:tblPrEx>
          <w:tblLayout w:type="fixed"/>
          <w:tblCellMar>
            <w:top w:w="0" w:type="dxa"/>
            <w:left w:w="108" w:type="dxa"/>
            <w:bottom w:w="0" w:type="dxa"/>
            <w:right w:w="108" w:type="dxa"/>
          </w:tblCellMar>
        </w:tblPrEx>
        <w:trPr>
          <w:trHeight w:val="720" w:hRule="atLeast"/>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ascii="宋体" w:hAnsi="宋体" w:cs="宋体"/>
                <w:kern w:val="0"/>
                <w:sz w:val="20"/>
                <w:szCs w:val="20"/>
              </w:rPr>
              <w:t>指标分类</w:t>
            </w:r>
          </w:p>
        </w:tc>
        <w:tc>
          <w:tcPr>
            <w:tcW w:w="855"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0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办公自动化</w:t>
            </w:r>
          </w:p>
        </w:tc>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硬件采购</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18"/>
                <w:szCs w:val="18"/>
              </w:rPr>
            </w:pPr>
            <w:r>
              <w:rPr>
                <w:rFonts w:ascii="宋体" w:hAnsi="宋体" w:cs="宋体"/>
                <w:kern w:val="0"/>
                <w:sz w:val="18"/>
                <w:szCs w:val="18"/>
              </w:rPr>
              <w:t>良田高拍仪</w:t>
            </w:r>
            <w:r>
              <w:rPr>
                <w:rFonts w:hint="eastAsia" w:ascii="宋体" w:hAnsi="宋体" w:cs="宋体"/>
                <w:kern w:val="0"/>
                <w:sz w:val="18"/>
                <w:szCs w:val="18"/>
              </w:rPr>
              <w:t>2台</w:t>
            </w:r>
          </w:p>
          <w:p>
            <w:pPr>
              <w:widowControl/>
              <w:jc w:val="left"/>
              <w:rPr>
                <w:rFonts w:hint="eastAsia" w:ascii="宋体" w:hAnsi="宋体" w:cs="宋体"/>
                <w:kern w:val="0"/>
                <w:sz w:val="18"/>
                <w:szCs w:val="18"/>
              </w:rPr>
            </w:pPr>
            <w:r>
              <w:rPr>
                <w:rFonts w:hint="eastAsia" w:ascii="宋体" w:hAnsi="宋体" w:cs="宋体"/>
                <w:kern w:val="0"/>
                <w:sz w:val="18"/>
                <w:szCs w:val="18"/>
              </w:rPr>
              <w:t>富士通扫描仪2台</w:t>
            </w:r>
          </w:p>
          <w:p>
            <w:pPr>
              <w:widowControl/>
              <w:jc w:val="left"/>
              <w:rPr>
                <w:rFonts w:hint="eastAsia" w:ascii="宋体" w:hAnsi="宋体" w:cs="宋体"/>
                <w:kern w:val="0"/>
                <w:sz w:val="18"/>
                <w:szCs w:val="18"/>
              </w:rPr>
            </w:pPr>
            <w:r>
              <w:rPr>
                <w:rFonts w:hint="eastAsia" w:ascii="宋体" w:hAnsi="宋体" w:cs="宋体"/>
                <w:kern w:val="0"/>
                <w:sz w:val="18"/>
                <w:szCs w:val="18"/>
              </w:rPr>
              <w:t>固态硬盘3块</w:t>
            </w:r>
          </w:p>
          <w:p>
            <w:pPr>
              <w:widowControl/>
              <w:jc w:val="left"/>
              <w:rPr>
                <w:rFonts w:ascii="宋体" w:hAnsi="宋体" w:cs="宋体"/>
                <w:kern w:val="0"/>
                <w:sz w:val="18"/>
                <w:szCs w:val="18"/>
              </w:rPr>
            </w:pPr>
            <w:r>
              <w:rPr>
                <w:rFonts w:hint="eastAsia" w:ascii="宋体" w:hAnsi="宋体" w:cs="宋体"/>
                <w:kern w:val="0"/>
                <w:sz w:val="18"/>
                <w:szCs w:val="18"/>
              </w:rPr>
              <w:t>集成屏显2套</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18"/>
                <w:szCs w:val="18"/>
              </w:rPr>
            </w:pPr>
            <w:r>
              <w:rPr>
                <w:rFonts w:ascii="宋体" w:hAnsi="宋体" w:cs="宋体"/>
                <w:kern w:val="0"/>
                <w:sz w:val="18"/>
                <w:szCs w:val="18"/>
              </w:rPr>
              <w:t>良田高拍仪</w:t>
            </w:r>
            <w:r>
              <w:rPr>
                <w:rFonts w:hint="eastAsia" w:ascii="宋体" w:hAnsi="宋体" w:cs="宋体"/>
                <w:kern w:val="0"/>
                <w:sz w:val="18"/>
                <w:szCs w:val="18"/>
              </w:rPr>
              <w:t>2台</w:t>
            </w:r>
          </w:p>
          <w:p>
            <w:pPr>
              <w:widowControl/>
              <w:jc w:val="left"/>
              <w:rPr>
                <w:rFonts w:hint="eastAsia" w:ascii="宋体" w:hAnsi="宋体" w:cs="宋体"/>
                <w:kern w:val="0"/>
                <w:sz w:val="18"/>
                <w:szCs w:val="18"/>
              </w:rPr>
            </w:pPr>
            <w:r>
              <w:rPr>
                <w:rFonts w:hint="eastAsia" w:ascii="宋体" w:hAnsi="宋体" w:cs="宋体"/>
                <w:kern w:val="0"/>
                <w:sz w:val="18"/>
                <w:szCs w:val="18"/>
              </w:rPr>
              <w:t>富士通扫描仪2台</w:t>
            </w:r>
          </w:p>
          <w:p>
            <w:pPr>
              <w:widowControl/>
              <w:jc w:val="left"/>
              <w:rPr>
                <w:rFonts w:hint="eastAsia" w:ascii="宋体" w:hAnsi="宋体" w:cs="宋体"/>
                <w:kern w:val="0"/>
                <w:sz w:val="18"/>
                <w:szCs w:val="18"/>
              </w:rPr>
            </w:pPr>
            <w:r>
              <w:rPr>
                <w:rFonts w:hint="eastAsia" w:ascii="宋体" w:hAnsi="宋体" w:cs="宋体"/>
                <w:kern w:val="0"/>
                <w:sz w:val="18"/>
                <w:szCs w:val="18"/>
              </w:rPr>
              <w:t>固态硬盘3块</w:t>
            </w:r>
          </w:p>
          <w:p>
            <w:pPr>
              <w:widowControl/>
              <w:jc w:val="left"/>
              <w:rPr>
                <w:rFonts w:ascii="宋体" w:hAnsi="宋体" w:cs="宋体"/>
                <w:kern w:val="0"/>
                <w:sz w:val="20"/>
                <w:szCs w:val="20"/>
              </w:rPr>
            </w:pPr>
            <w:r>
              <w:rPr>
                <w:rFonts w:hint="eastAsia" w:ascii="宋体" w:hAnsi="宋体" w:cs="宋体"/>
                <w:kern w:val="0"/>
                <w:sz w:val="18"/>
                <w:szCs w:val="18"/>
              </w:rPr>
              <w:t>集成屏显2套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软件采购</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双机热备软件</w:t>
            </w:r>
            <w:r>
              <w:rPr>
                <w:rFonts w:hint="eastAsia" w:ascii="宋体" w:hAnsi="宋体" w:cs="宋体"/>
                <w:kern w:val="0"/>
                <w:sz w:val="20"/>
                <w:szCs w:val="20"/>
              </w:rPr>
              <w:t>1套</w:t>
            </w:r>
          </w:p>
          <w:p>
            <w:pPr>
              <w:widowControl/>
              <w:jc w:val="left"/>
              <w:rPr>
                <w:rFonts w:ascii="宋体" w:hAnsi="宋体" w:cs="宋体"/>
                <w:kern w:val="0"/>
                <w:sz w:val="20"/>
                <w:szCs w:val="20"/>
              </w:rPr>
            </w:pPr>
            <w:r>
              <w:rPr>
                <w:rFonts w:ascii="宋体" w:hAnsi="宋体" w:cs="宋体"/>
                <w:kern w:val="0"/>
                <w:sz w:val="20"/>
                <w:szCs w:val="20"/>
              </w:rPr>
              <w:t>P</w:t>
            </w:r>
            <w:r>
              <w:rPr>
                <w:rFonts w:hint="eastAsia" w:ascii="宋体" w:hAnsi="宋体" w:cs="宋体"/>
                <w:kern w:val="0"/>
                <w:sz w:val="20"/>
                <w:szCs w:val="20"/>
              </w:rPr>
              <w:t>df阅读软件1套</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双机热备软件</w:t>
            </w:r>
            <w:r>
              <w:rPr>
                <w:rFonts w:hint="eastAsia" w:ascii="宋体" w:hAnsi="宋体" w:cs="宋体"/>
                <w:kern w:val="0"/>
                <w:sz w:val="20"/>
                <w:szCs w:val="20"/>
              </w:rPr>
              <w:t>1套</w:t>
            </w:r>
          </w:p>
          <w:p>
            <w:pPr>
              <w:widowControl/>
              <w:jc w:val="left"/>
              <w:rPr>
                <w:rFonts w:ascii="宋体" w:hAnsi="宋体" w:cs="宋体"/>
                <w:kern w:val="0"/>
                <w:sz w:val="20"/>
                <w:szCs w:val="20"/>
              </w:rPr>
            </w:pPr>
            <w:r>
              <w:rPr>
                <w:rFonts w:ascii="宋体" w:hAnsi="宋体" w:cs="宋体"/>
                <w:kern w:val="0"/>
                <w:sz w:val="20"/>
                <w:szCs w:val="20"/>
              </w:rPr>
              <w:t>P</w:t>
            </w:r>
            <w:r>
              <w:rPr>
                <w:rFonts w:hint="eastAsia" w:ascii="宋体" w:hAnsi="宋体" w:cs="宋体"/>
                <w:kern w:val="0"/>
                <w:sz w:val="20"/>
                <w:szCs w:val="20"/>
              </w:rPr>
              <w:t>df阅读软件1套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系统开发</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银行便民抵押登记系统</w:t>
            </w:r>
          </w:p>
          <w:p>
            <w:pPr>
              <w:widowControl/>
              <w:jc w:val="left"/>
              <w:rPr>
                <w:rFonts w:ascii="宋体" w:hAnsi="宋体" w:cs="宋体"/>
                <w:kern w:val="0"/>
                <w:sz w:val="20"/>
                <w:szCs w:val="20"/>
              </w:rPr>
            </w:pPr>
            <w:r>
              <w:rPr>
                <w:rFonts w:hint="eastAsia" w:ascii="宋体" w:hAnsi="宋体" w:cs="宋体"/>
                <w:kern w:val="0"/>
                <w:sz w:val="20"/>
                <w:szCs w:val="20"/>
              </w:rPr>
              <w:t>开发网内网登记系统</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银行便民抵押登记系统</w:t>
            </w:r>
          </w:p>
          <w:p>
            <w:pPr>
              <w:widowControl/>
              <w:jc w:val="left"/>
              <w:rPr>
                <w:rFonts w:ascii="宋体" w:hAnsi="宋体" w:cs="宋体"/>
                <w:kern w:val="0"/>
                <w:sz w:val="20"/>
                <w:szCs w:val="20"/>
              </w:rPr>
            </w:pPr>
            <w:r>
              <w:rPr>
                <w:rFonts w:hint="eastAsia" w:ascii="宋体" w:hAnsi="宋体" w:cs="宋体"/>
                <w:kern w:val="0"/>
                <w:sz w:val="20"/>
                <w:szCs w:val="20"/>
              </w:rPr>
              <w:t>开发网内网登记系统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政府采购率</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系统验收合格率</w:t>
            </w:r>
          </w:p>
        </w:tc>
        <w:tc>
          <w:tcPr>
            <w:tcW w:w="1559"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系统故障率</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0.2%</w:t>
            </w:r>
          </w:p>
        </w:tc>
        <w:tc>
          <w:tcPr>
            <w:tcW w:w="2268" w:type="dxa"/>
            <w:tcBorders>
              <w:top w:val="nil"/>
              <w:left w:val="nil"/>
              <w:bottom w:val="single" w:color="auto" w:sz="4" w:space="0"/>
              <w:right w:val="single" w:color="auto" w:sz="4" w:space="0"/>
            </w:tcBorders>
            <w:shd w:val="clear" w:color="auto" w:fill="auto"/>
            <w:vAlign w:val="center"/>
          </w:tcPr>
          <w:p>
            <w:pPr>
              <w:widowControl/>
              <w:ind w:firstLine="800" w:firstLineChars="400"/>
              <w:rPr>
                <w:rFonts w:ascii="宋体" w:hAnsi="宋体" w:cs="宋体"/>
                <w:kern w:val="0"/>
                <w:sz w:val="20"/>
                <w:szCs w:val="20"/>
              </w:rPr>
            </w:pPr>
            <w:r>
              <w:rPr>
                <w:rFonts w:hint="eastAsia" w:ascii="宋体" w:hAnsi="宋体" w:cs="宋体"/>
                <w:kern w:val="0"/>
                <w:sz w:val="20"/>
                <w:szCs w:val="20"/>
              </w:rPr>
              <w:t>0.2%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办公自动化覆盖业务种类</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不动产登记（1）种</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ascii="宋体" w:hAnsi="宋体" w:cs="宋体"/>
                <w:kern w:val="0"/>
                <w:sz w:val="20"/>
                <w:szCs w:val="20"/>
              </w:rPr>
              <w:t>不动产登记</w:t>
            </w:r>
            <w:r>
              <w:rPr>
                <w:rFonts w:hint="eastAsia" w:ascii="宋体" w:hAnsi="宋体" w:cs="宋体"/>
                <w:kern w:val="0"/>
                <w:sz w:val="20"/>
                <w:szCs w:val="20"/>
              </w:rPr>
              <w:t>8个大类</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办公自动化覆盖率</w:t>
            </w:r>
          </w:p>
        </w:tc>
        <w:tc>
          <w:tcPr>
            <w:tcW w:w="1559"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100%</w:t>
            </w:r>
          </w:p>
        </w:tc>
        <w:tc>
          <w:tcPr>
            <w:tcW w:w="2268"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31"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业务处理及时性</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99.4%</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99.4%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02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办公经费节省数</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9.2万元</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节约人力资源资金9.2万元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档案录入时间节省率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74%</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档案检索时间节省率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公共主页点击量增长率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27%</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投诉减少率</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优化乡村振兴结构，提高村集体土地集约节约利用。</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优化乡村振兴结构，提高村集体土地集约节约利用。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2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通过宅基地及房屋确权，明确产权归属，减少产权纠纷，为实现农民财产权抵押试点和乡村振兴战略决策实施奠定基础。</w:t>
            </w:r>
          </w:p>
        </w:tc>
        <w:tc>
          <w:tcPr>
            <w:tcW w:w="22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通过宅基地及房屋确权，明确产权归属，减少产权纠纷，为实现农民财产权抵押试点和乡村振兴战略决策实施奠定基础。</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55"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026"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通用设备运行的满意率</w:t>
            </w:r>
          </w:p>
        </w:tc>
        <w:tc>
          <w:tcPr>
            <w:tcW w:w="1559"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按年初计划完成全年指标，权属调查错误率控制在</w:t>
            </w:r>
            <w:r>
              <w:rPr>
                <w:rFonts w:ascii="宋体" w:hAnsi="宋体" w:cs="宋体"/>
                <w:kern w:val="0"/>
                <w:sz w:val="20"/>
                <w:szCs w:val="20"/>
              </w:rPr>
              <w:t>1</w:t>
            </w:r>
            <w:r>
              <w:rPr>
                <w:rFonts w:hint="eastAsia" w:ascii="宋体" w:hAnsi="宋体" w:cs="宋体"/>
                <w:kern w:val="0"/>
                <w:sz w:val="20"/>
                <w:szCs w:val="20"/>
              </w:rPr>
              <w:t>%　以下。</w:t>
            </w:r>
          </w:p>
        </w:tc>
        <w:tc>
          <w:tcPr>
            <w:tcW w:w="2268"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按年初计划完成全年指标，权属调查错误率控制在</w:t>
            </w:r>
            <w:r>
              <w:rPr>
                <w:rFonts w:ascii="宋体" w:hAnsi="宋体" w:cs="宋体"/>
                <w:kern w:val="0"/>
                <w:sz w:val="20"/>
                <w:szCs w:val="20"/>
              </w:rPr>
              <w:t>1</w:t>
            </w:r>
            <w:r>
              <w:rPr>
                <w:rFonts w:hint="eastAsia" w:ascii="宋体" w:hAnsi="宋体" w:cs="宋体"/>
                <w:kern w:val="0"/>
                <w:sz w:val="20"/>
                <w:szCs w:val="20"/>
              </w:rPr>
              <w:t>%以下。</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right w:val="single" w:color="auto" w:sz="4" w:space="0"/>
            </w:tcBorders>
            <w:vAlign w:val="center"/>
          </w:tcPr>
          <w:p>
            <w:pPr>
              <w:jc w:val="left"/>
              <w:rPr>
                <w:rFonts w:ascii="宋体" w:hAnsi="宋体" w:cs="宋体"/>
                <w:kern w:val="0"/>
                <w:sz w:val="20"/>
                <w:szCs w:val="20"/>
              </w:rPr>
            </w:pPr>
            <w:r>
              <w:rPr>
                <w:rFonts w:ascii="宋体" w:hAnsi="宋体" w:cs="宋体"/>
                <w:kern w:val="0"/>
                <w:sz w:val="20"/>
                <w:szCs w:val="20"/>
              </w:rPr>
              <w:t>软件开发</w:t>
            </w: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软件开发数量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w:t>
            </w:r>
            <w:r>
              <w:rPr>
                <w:rFonts w:hint="eastAsia" w:ascii="宋体" w:hAnsi="宋体" w:cs="宋体"/>
                <w:kern w:val="0"/>
                <w:sz w:val="20"/>
                <w:szCs w:val="20"/>
              </w:rPr>
              <w:t>+互联网服务平台（1）套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w:t>
            </w:r>
            <w:r>
              <w:rPr>
                <w:rFonts w:hint="eastAsia" w:ascii="宋体" w:hAnsi="宋体" w:cs="宋体"/>
                <w:kern w:val="0"/>
                <w:sz w:val="20"/>
                <w:szCs w:val="20"/>
              </w:rPr>
              <w:t>+互联网服务平台（1）套</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系统开发数量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移动办公系统</w:t>
            </w:r>
          </w:p>
          <w:p>
            <w:pPr>
              <w:widowControl/>
              <w:jc w:val="left"/>
              <w:rPr>
                <w:rFonts w:ascii="宋体" w:hAnsi="宋体" w:cs="宋体"/>
                <w:kern w:val="0"/>
                <w:sz w:val="20"/>
                <w:szCs w:val="20"/>
              </w:rPr>
            </w:pPr>
            <w:r>
              <w:rPr>
                <w:rFonts w:hint="eastAsia" w:ascii="宋体" w:hAnsi="宋体" w:cs="宋体"/>
                <w:kern w:val="0"/>
                <w:sz w:val="20"/>
                <w:szCs w:val="20"/>
              </w:rPr>
              <w:t>（1）套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ascii="宋体" w:hAnsi="宋体" w:cs="宋体"/>
                <w:kern w:val="0"/>
                <w:sz w:val="20"/>
                <w:szCs w:val="20"/>
              </w:rPr>
              <w:t>移动办公系统</w:t>
            </w:r>
          </w:p>
          <w:p>
            <w:pPr>
              <w:widowControl/>
              <w:jc w:val="left"/>
              <w:rPr>
                <w:rFonts w:ascii="宋体" w:hAnsi="宋体" w:cs="宋体"/>
                <w:kern w:val="0"/>
                <w:sz w:val="20"/>
                <w:szCs w:val="20"/>
              </w:rPr>
            </w:pPr>
            <w:r>
              <w:rPr>
                <w:rFonts w:hint="eastAsia" w:ascii="宋体" w:hAnsi="宋体" w:cs="宋体"/>
                <w:kern w:val="0"/>
                <w:sz w:val="20"/>
                <w:szCs w:val="20"/>
              </w:rPr>
              <w:t>（1）套</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系统响应速率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104%</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104%</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异常处理能力</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2.1%</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2.1%</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用户友好性</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系统寿命指数</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用户使用满意度</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restart"/>
            <w:tcBorders>
              <w:top w:val="single" w:color="auto" w:sz="4" w:space="0"/>
              <w:left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系统安全</w:t>
            </w: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硬件维护数量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服务器</w:t>
            </w:r>
            <w:r>
              <w:rPr>
                <w:rFonts w:hint="eastAsia" w:ascii="宋体" w:hAnsi="宋体" w:cs="宋体"/>
                <w:kern w:val="0"/>
                <w:sz w:val="20"/>
                <w:szCs w:val="20"/>
              </w:rPr>
              <w:t>1台/套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服务器硬盘扩容</w:t>
            </w:r>
            <w:r>
              <w:rPr>
                <w:rFonts w:hint="eastAsia" w:ascii="宋体" w:hAnsi="宋体" w:cs="宋体"/>
                <w:kern w:val="0"/>
                <w:sz w:val="20"/>
                <w:szCs w:val="20"/>
              </w:rPr>
              <w:t>1次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软件维护数量</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不动产登记平台</w:t>
            </w:r>
            <w:r>
              <w:rPr>
                <w:rFonts w:hint="eastAsia" w:ascii="宋体" w:hAnsi="宋体" w:cs="宋体"/>
                <w:kern w:val="0"/>
                <w:sz w:val="20"/>
                <w:szCs w:val="20"/>
              </w:rPr>
              <w:t>（1）套</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不动产系统登记系统</w:t>
            </w:r>
            <w:r>
              <w:rPr>
                <w:rFonts w:hint="eastAsia" w:ascii="宋体" w:hAnsi="宋体" w:cs="宋体"/>
                <w:kern w:val="0"/>
                <w:sz w:val="20"/>
                <w:szCs w:val="20"/>
              </w:rPr>
              <w:t>1套更新5次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平均日维护数</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平均每</w:t>
            </w:r>
            <w:r>
              <w:rPr>
                <w:rFonts w:hint="eastAsia" w:ascii="宋体" w:hAnsi="宋体" w:cs="宋体"/>
                <w:kern w:val="0"/>
                <w:sz w:val="20"/>
                <w:szCs w:val="20"/>
              </w:rPr>
              <w:t>150天1次</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0.7%</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0.7%</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故障排除率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100%</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100%</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系统故障响应修复时间</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2小时</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2小时</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年度维护成本增长率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1.4%</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1.4%</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效果指标</w:t>
            </w:r>
          </w:p>
        </w:tc>
        <w:tc>
          <w:tcPr>
            <w:tcW w:w="10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故障降低率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72%</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72%</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非正常停机率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600" w:firstLineChars="300"/>
              <w:jc w:val="left"/>
              <w:rPr>
                <w:rFonts w:ascii="宋体" w:hAnsi="宋体" w:cs="宋体"/>
                <w:kern w:val="0"/>
                <w:sz w:val="20"/>
                <w:szCs w:val="20"/>
              </w:rPr>
            </w:pPr>
            <w:r>
              <w:rPr>
                <w:rFonts w:hint="eastAsia" w:ascii="宋体" w:hAnsi="宋体" w:cs="宋体"/>
                <w:kern w:val="0"/>
                <w:sz w:val="20"/>
                <w:szCs w:val="20"/>
              </w:rPr>
              <w:t>3%</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3%</w:t>
            </w:r>
          </w:p>
        </w:tc>
      </w:tr>
      <w:tr>
        <w:tblPrEx>
          <w:tblLayout w:type="fixed"/>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85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0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数据共享率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ind w:firstLine="600" w:firstLineChars="300"/>
              <w:jc w:val="left"/>
              <w:rPr>
                <w:rFonts w:ascii="宋体" w:hAnsi="宋体" w:cs="宋体"/>
                <w:kern w:val="0"/>
                <w:sz w:val="20"/>
                <w:szCs w:val="20"/>
              </w:rPr>
            </w:pPr>
            <w:r>
              <w:rPr>
                <w:rFonts w:hint="eastAsia" w:ascii="宋体" w:hAnsi="宋体" w:cs="宋体"/>
                <w:kern w:val="0"/>
                <w:sz w:val="20"/>
                <w:szCs w:val="20"/>
              </w:rPr>
              <w:t>35%</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35%</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53A"/>
    <w:rsid w:val="00025D5D"/>
    <w:rsid w:val="00097B71"/>
    <w:rsid w:val="000C5A92"/>
    <w:rsid w:val="001750B6"/>
    <w:rsid w:val="00211CE2"/>
    <w:rsid w:val="002563DD"/>
    <w:rsid w:val="003306C6"/>
    <w:rsid w:val="003944A8"/>
    <w:rsid w:val="003D12E1"/>
    <w:rsid w:val="003D7B94"/>
    <w:rsid w:val="00402F4F"/>
    <w:rsid w:val="004A1D75"/>
    <w:rsid w:val="004D2553"/>
    <w:rsid w:val="0053161E"/>
    <w:rsid w:val="0054353A"/>
    <w:rsid w:val="005546FD"/>
    <w:rsid w:val="00593CDB"/>
    <w:rsid w:val="005E6B31"/>
    <w:rsid w:val="006E4815"/>
    <w:rsid w:val="0074716B"/>
    <w:rsid w:val="0079573C"/>
    <w:rsid w:val="007B416A"/>
    <w:rsid w:val="00902C6F"/>
    <w:rsid w:val="00971B9F"/>
    <w:rsid w:val="009C19DA"/>
    <w:rsid w:val="00A34F1B"/>
    <w:rsid w:val="00AD4C2E"/>
    <w:rsid w:val="00B87189"/>
    <w:rsid w:val="00BD5D3C"/>
    <w:rsid w:val="00C63C99"/>
    <w:rsid w:val="00CC2163"/>
    <w:rsid w:val="00CF2EA5"/>
    <w:rsid w:val="00D54094"/>
    <w:rsid w:val="00D8794B"/>
    <w:rsid w:val="00EE1213"/>
    <w:rsid w:val="00FA1A03"/>
    <w:rsid w:val="00FA4F24"/>
    <w:rsid w:val="0E5F1956"/>
    <w:rsid w:val="1D4875A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bCs/>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448</Words>
  <Characters>2558</Characters>
  <Lines>21</Lines>
  <Paragraphs>5</Paragraphs>
  <TotalTime>0</TotalTime>
  <ScaleCrop>false</ScaleCrop>
  <LinksUpToDate>false</LinksUpToDate>
  <CharactersWithSpaces>3001</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2019-02-21T10:07:00Z</dcterms:created>
  <dc:creator>l</dc:creator>
  <cp:lastModifiedBy>Administrator</cp:lastModifiedBy>
  <dcterms:modified xsi:type="dcterms:W3CDTF">2019-02-25T12:49:59Z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