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DC5D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D7FAFFB">
      <w:pPr>
        <w:spacing w:line="540" w:lineRule="exact"/>
        <w:jc w:val="center"/>
        <w:rPr>
          <w:rFonts w:ascii="华文中宋" w:hAnsi="华文中宋" w:eastAsia="华文中宋" w:cs="宋体"/>
          <w:b/>
          <w:kern w:val="0"/>
          <w:sz w:val="52"/>
          <w:szCs w:val="52"/>
        </w:rPr>
      </w:pPr>
    </w:p>
    <w:p w14:paraId="7C5B4C63">
      <w:pPr>
        <w:spacing w:line="540" w:lineRule="exact"/>
        <w:jc w:val="center"/>
        <w:rPr>
          <w:rFonts w:ascii="华文中宋" w:hAnsi="华文中宋" w:eastAsia="华文中宋" w:cs="宋体"/>
          <w:b/>
          <w:kern w:val="0"/>
          <w:sz w:val="52"/>
          <w:szCs w:val="52"/>
        </w:rPr>
      </w:pPr>
    </w:p>
    <w:p w14:paraId="1E41B433">
      <w:pPr>
        <w:spacing w:line="540" w:lineRule="exact"/>
        <w:jc w:val="center"/>
        <w:rPr>
          <w:rFonts w:ascii="华文中宋" w:hAnsi="华文中宋" w:eastAsia="华文中宋" w:cs="宋体"/>
          <w:b/>
          <w:kern w:val="0"/>
          <w:sz w:val="52"/>
          <w:szCs w:val="52"/>
        </w:rPr>
      </w:pPr>
    </w:p>
    <w:p w14:paraId="201A1FCB">
      <w:pPr>
        <w:spacing w:line="540" w:lineRule="exact"/>
        <w:jc w:val="center"/>
        <w:rPr>
          <w:rFonts w:ascii="华文中宋" w:hAnsi="华文中宋" w:eastAsia="华文中宋" w:cs="宋体"/>
          <w:b/>
          <w:kern w:val="0"/>
          <w:sz w:val="52"/>
          <w:szCs w:val="52"/>
        </w:rPr>
      </w:pPr>
    </w:p>
    <w:p w14:paraId="4C88F58B">
      <w:pPr>
        <w:spacing w:line="540" w:lineRule="exact"/>
        <w:jc w:val="center"/>
        <w:rPr>
          <w:rFonts w:ascii="华文中宋" w:hAnsi="华文中宋" w:eastAsia="华文中宋" w:cs="宋体"/>
          <w:b/>
          <w:kern w:val="0"/>
          <w:sz w:val="52"/>
          <w:szCs w:val="52"/>
        </w:rPr>
      </w:pPr>
    </w:p>
    <w:p w14:paraId="1BC511EE">
      <w:pPr>
        <w:spacing w:line="540" w:lineRule="exact"/>
        <w:jc w:val="center"/>
        <w:rPr>
          <w:rFonts w:ascii="华文中宋" w:hAnsi="华文中宋" w:eastAsia="华文中宋" w:cs="宋体"/>
          <w:b/>
          <w:kern w:val="0"/>
          <w:sz w:val="52"/>
          <w:szCs w:val="52"/>
        </w:rPr>
      </w:pPr>
    </w:p>
    <w:p w14:paraId="1474A4F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9D295E5">
      <w:pPr>
        <w:spacing w:line="540" w:lineRule="exact"/>
        <w:jc w:val="center"/>
        <w:rPr>
          <w:rFonts w:ascii="华文中宋" w:hAnsi="华文中宋" w:eastAsia="华文中宋" w:cs="宋体"/>
          <w:b/>
          <w:kern w:val="0"/>
          <w:sz w:val="52"/>
          <w:szCs w:val="52"/>
        </w:rPr>
      </w:pPr>
    </w:p>
    <w:p w14:paraId="272C210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832B0F4">
      <w:pPr>
        <w:spacing w:line="540" w:lineRule="exact"/>
        <w:jc w:val="center"/>
        <w:rPr>
          <w:rFonts w:hAnsi="宋体" w:eastAsia="仿宋_GB2312" w:cs="宋体"/>
          <w:kern w:val="0"/>
          <w:sz w:val="30"/>
          <w:szCs w:val="30"/>
        </w:rPr>
      </w:pPr>
    </w:p>
    <w:p w14:paraId="2D3B8BAA">
      <w:pPr>
        <w:spacing w:line="540" w:lineRule="exact"/>
        <w:jc w:val="center"/>
        <w:rPr>
          <w:rFonts w:hAnsi="宋体" w:eastAsia="仿宋_GB2312" w:cs="宋体"/>
          <w:kern w:val="0"/>
          <w:sz w:val="30"/>
          <w:szCs w:val="30"/>
        </w:rPr>
      </w:pPr>
    </w:p>
    <w:p w14:paraId="79DDD61B">
      <w:pPr>
        <w:spacing w:line="540" w:lineRule="exact"/>
        <w:jc w:val="center"/>
        <w:rPr>
          <w:rFonts w:hAnsi="宋体" w:eastAsia="仿宋_GB2312" w:cs="宋体"/>
          <w:kern w:val="0"/>
          <w:sz w:val="30"/>
          <w:szCs w:val="30"/>
        </w:rPr>
      </w:pPr>
    </w:p>
    <w:p w14:paraId="03EDE811">
      <w:pPr>
        <w:spacing w:line="540" w:lineRule="exact"/>
        <w:jc w:val="center"/>
        <w:rPr>
          <w:rFonts w:hAnsi="宋体" w:eastAsia="仿宋_GB2312" w:cs="宋体"/>
          <w:kern w:val="0"/>
          <w:sz w:val="30"/>
          <w:szCs w:val="30"/>
        </w:rPr>
      </w:pPr>
    </w:p>
    <w:p w14:paraId="5BFF2966">
      <w:pPr>
        <w:spacing w:line="540" w:lineRule="exact"/>
        <w:jc w:val="center"/>
        <w:rPr>
          <w:rFonts w:hAnsi="宋体" w:eastAsia="仿宋_GB2312" w:cs="宋体"/>
          <w:kern w:val="0"/>
          <w:sz w:val="30"/>
          <w:szCs w:val="30"/>
        </w:rPr>
      </w:pPr>
    </w:p>
    <w:p w14:paraId="70A847C1">
      <w:pPr>
        <w:spacing w:line="540" w:lineRule="exact"/>
        <w:jc w:val="center"/>
        <w:rPr>
          <w:rFonts w:hAnsi="宋体" w:eastAsia="仿宋_GB2312" w:cs="宋体"/>
          <w:kern w:val="0"/>
          <w:sz w:val="30"/>
          <w:szCs w:val="30"/>
        </w:rPr>
      </w:pPr>
    </w:p>
    <w:p w14:paraId="4626653B">
      <w:pPr>
        <w:spacing w:line="540" w:lineRule="exact"/>
        <w:rPr>
          <w:rFonts w:hAnsi="宋体" w:eastAsia="仿宋_GB2312" w:cs="宋体"/>
          <w:kern w:val="0"/>
          <w:sz w:val="30"/>
          <w:szCs w:val="30"/>
        </w:rPr>
      </w:pPr>
    </w:p>
    <w:p w14:paraId="3BDC7F0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E8DD7CE">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玛纳斯县乐土驿镇人民政府-2024年自治区农村综合改革转移支付资金</w:t>
      </w:r>
      <w:bookmarkStart w:id="0" w:name="_GoBack"/>
      <w:bookmarkEnd w:id="0"/>
    </w:p>
    <w:p w14:paraId="331678B2">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玛纳斯县乐土驿镇人民政府</w:t>
      </w:r>
    </w:p>
    <w:p w14:paraId="6C487818">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玛纳斯县乐土驿镇人民政府</w:t>
      </w:r>
    </w:p>
    <w:p w14:paraId="316C4FE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邓博文</w:t>
      </w:r>
    </w:p>
    <w:p w14:paraId="6726F64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2025年03月06日</w:t>
      </w:r>
    </w:p>
    <w:p w14:paraId="0169EA8E">
      <w:pPr>
        <w:spacing w:line="700" w:lineRule="exact"/>
        <w:ind w:firstLine="708" w:firstLineChars="236"/>
        <w:jc w:val="left"/>
        <w:rPr>
          <w:rFonts w:hAnsi="宋体" w:eastAsia="仿宋_GB2312" w:cs="宋体"/>
          <w:kern w:val="0"/>
          <w:sz w:val="30"/>
          <w:szCs w:val="30"/>
        </w:rPr>
      </w:pPr>
    </w:p>
    <w:p w14:paraId="068AFE02">
      <w:pPr>
        <w:spacing w:line="540" w:lineRule="exact"/>
        <w:rPr>
          <w:rStyle w:val="18"/>
          <w:rFonts w:ascii="黑体" w:hAnsi="黑体" w:eastAsia="黑体"/>
          <w:b w:val="0"/>
          <w:spacing w:val="-4"/>
          <w:sz w:val="32"/>
          <w:szCs w:val="32"/>
        </w:rPr>
      </w:pPr>
    </w:p>
    <w:p w14:paraId="795437A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F30918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687D8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柳树庄村位于玛纳斯县乐土驿镇，村内道路基础设施薄弱，路面狭窄，夜间照明不足，严重影响了村民日常出行和生产生活，影响了该村的经济发展。近年来，国家大力推进乡村振兴战略，加大对农村基础设施建设的投入力度。村内路灯建设项目作为乡村振兴的重要内容，得到了上级政府的高度重视和资金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农[2023]59号-2024年中央农村综合改革转移支付预算资金，根据文件下达预算资金，特制定本项目。乐土驿镇政府为了推进美丽乡村建设，提高乡村振兴，乐土驿镇以柳树庄村为主体，为群众谋福利，建设路灯改造项目。 1.推进农村公益事业建设，提升农村人居环境。 2.建设一批美丽乡村，逐步实现农村人居环境明显改善。 3.发展村级集体经济，逐步实现村都有稳定的集体经济。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主要内容：建设地点为玛纳斯县乐土驿镇柳树庄村；建设内容及规模:柳树庄村主干道安装路灯250盏。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我镇组织人员对村内道路进行全面调研，制定详细的修缮方案和施工计划，项目资金主要来源于上级财政拨款，通过公开招标方式选择具有资质的施工单位，签订施工合同，明确施工要求和工期。施工单位按照设计方案和施工计划，分阶段推进道路硬化、路基加固、路灯设施建设等工作，施工完成后我镇工作人员组织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2024年中央农村综合改革转移支付资金预算安排总额为55.00万元，其中财政资金55.00万元，其他资金0.00万元，2024年实际收到预算资金55.00万元，预算资金到位率为100%。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截止2024年12月31日，2024年中央农村综合改革转移支付预算资金实际支付资金54.36万元，预算执行率9</w:t>
      </w:r>
      <w:r>
        <w:rPr>
          <w:rStyle w:val="18"/>
          <w:rFonts w:hint="eastAsia" w:ascii="楷体" w:hAnsi="楷体" w:eastAsia="楷体"/>
          <w:b w:val="0"/>
          <w:bCs w:val="0"/>
          <w:spacing w:val="-4"/>
          <w:sz w:val="32"/>
          <w:szCs w:val="32"/>
          <w:lang w:val="en-US" w:eastAsia="zh-CN"/>
        </w:rPr>
        <w:t>8.84</w:t>
      </w:r>
      <w:r>
        <w:rPr>
          <w:rStyle w:val="18"/>
          <w:rFonts w:hint="eastAsia" w:ascii="楷体" w:hAnsi="楷体" w:eastAsia="楷体"/>
          <w:b w:val="0"/>
          <w:bCs w:val="0"/>
          <w:spacing w:val="-4"/>
          <w:sz w:val="32"/>
          <w:szCs w:val="32"/>
        </w:rPr>
        <w:t>%。项目资金主要用于新建柳树庄村路灯250盏及相关配套附属设施建设等方面。</w:t>
      </w:r>
    </w:p>
    <w:p w14:paraId="220E730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659BB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预算资金-乐土驿镇柳树庄村路灯项目绩效总体目标为：本项目投入资金55万元，路灯建设数量大于等于250盏，工程验收合格率大于等于95%,工程完工及时率等于100%，资金拨付及时率等于100%,每盏路灯施工成本小于等于2200元，通过本项目的实施，显著提升居住环境，使受益村民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“路灯建设数量”指标，预期指标值为250盏；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“没盏路灯建设成本”指标，预期指标值为2200元；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“改善居住环境”指标，预期指标值为显著提升；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“村民满意度”指标，预期指标值为90%。</w:t>
      </w:r>
    </w:p>
    <w:p w14:paraId="117AAA4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4459F9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5278E3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此次我单位根据《财政支出绩效评价管理暂行办法》（财预〔2020〕10号）文件要求对2024年度我单位实施的2024年中央农村综合改革转移支付预算资金项目开展部门绩效评价。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0537FC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8ACA5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预算资金-乐土驿镇柳树庄村路灯项目绩效总体目标为：本项目投入资金55万元，路灯建设数量大于等于250盏，工程验收合格率大于等于95%,工程完工及时率等于100%，资金拨付及时率等于100%,每盏路灯施工成本小于等于2200元，通过本项目的实施，显著提升居住环境，使受益村民满意度达到90%以上。</w:t>
      </w:r>
    </w:p>
    <w:p w14:paraId="5F51427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829BA7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农村综合改革转移支付预算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w:t>
      </w:r>
    </w:p>
    <w:p w14:paraId="439549E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E6086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此次绩效评价通过组论证的评价指标体系及评分标准，采用的方法比较法、因素分析法、公众评判法，对2024年中央农村综合改革转移支付预算资金项目绩效进行客观评价，最终评分结果：总分为99</w:t>
      </w:r>
      <w:r>
        <w:rPr>
          <w:rStyle w:val="18"/>
          <w:rFonts w:hint="eastAsia" w:ascii="楷体" w:hAnsi="楷体" w:eastAsia="楷体"/>
          <w:b w:val="0"/>
          <w:bCs w:val="0"/>
          <w:spacing w:val="-4"/>
          <w:sz w:val="32"/>
          <w:szCs w:val="32"/>
          <w:lang w:val="en-US" w:eastAsia="zh-CN"/>
        </w:rPr>
        <w:t>.88</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表3-1：2024年中央农村综合改革转移支付预算资金项目得分表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99.75%</w:t>
      </w:r>
    </w:p>
    <w:p w14:paraId="3B5CC35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9B4F5E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B48FDDF">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项目决策由3个二级指标和4个三级指标构成，权重分20分，实际得分20分，各指标业绩值和绩效分值如表4-1所示（详见上传的附件）：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根据昌州财农[2023]59号-2024年中央农村综合改革转移支付预算资金，根据文件下达预算资金，特制定本项目。乐土驿镇政府为了推进美丽乡村建设，提高乡村振兴，乐土驿镇以柳树庄村为主体，为群众谋福利，建设路灯改造项目。 1.推进农村公益事业建设，提升农村人居环境。 2.建设一批美丽乡村，逐步实现农村人居环境明显改善。 3.发展村级集体经济，逐步实现村都有稳定的集体经济。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1A34B00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A78FE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项目过程管理类指标由2个二级指标和5个三级指标构成，权重分20分，实际得分19.95分，各指标业绩值和绩效分值如表4-2所示（详见上传的附件）：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资金到位率=（55/55）×100%=100%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预算执行率=（54.36/55）×98.84%=3.95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综上，该项指标满分3.95分，得分3.95分。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①已制定具有相应的《玛纳斯县乐土驿镇人民政府财务管理制度》和《玛纳斯县乐土驿镇项目管理制度》用以管理项目实施；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③项目合同书、验收报告、项目资金支付凭证等资料齐全并及时归档；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05AE68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380EF2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项目产出类指标由4个二级指标和6个三级指标构成，权重分30分，实际得分30分，各指标业绩值和绩效分值如表4-3所示（详见上传的附件）：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路灯建设数量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250盏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250盏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工程完工及时率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       每盏路灯施工成本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2200元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2200元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“路灯建设数量”指标，预期指标值为250盏，实际完成为250盏。实际完成率=（250盏/250盏）×100%=100%。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“每盏路灯施工成本”指标，预期指标值为2200元，实际完成为2200元。实际完成率=（2200万元/2200万元）×100%=100%。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7BC5E93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0CAAF7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改善居住环境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显著提升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显著提升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村民满意度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“改善居住环境”指标，预期指标值为显著提升，实际完成为100%。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7707EDC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1FD6DA0A">
      <w:pPr>
        <w:spacing w:line="540" w:lineRule="exact"/>
        <w:ind w:firstLine="567"/>
        <w:rPr>
          <w:rStyle w:val="18"/>
          <w:rFonts w:hint="eastAsia" w:ascii="楷体" w:hAnsi="楷体" w:eastAsia="楷体"/>
          <w:b w:val="0"/>
          <w:bCs w:val="0"/>
          <w:spacing w:val="-4"/>
          <w:sz w:val="32"/>
          <w:szCs w:val="32"/>
        </w:rPr>
      </w:pPr>
    </w:p>
    <w:p w14:paraId="6B49BA55">
      <w:pPr>
        <w:spacing w:line="540" w:lineRule="exact"/>
        <w:ind w:firstLine="567"/>
        <w:rPr>
          <w:rStyle w:val="18"/>
          <w:rFonts w:ascii="楷体" w:hAnsi="楷体" w:eastAsia="楷体"/>
          <w:spacing w:val="-4"/>
          <w:sz w:val="32"/>
          <w:szCs w:val="32"/>
        </w:rPr>
      </w:pPr>
    </w:p>
    <w:p w14:paraId="4D9F261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095928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2024年中央农村综合改革转移支付预算资金项目2024年预算数为55万元，截至2024年12月31日共支出54.36万元，预算执行率为100%。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乐土驿镇人民政府建立健全了预算管理规章制度，各部门严格按预算编制的原则和要求做好当年预算编制工作，在预算绩效管理工作中，做到合理安排各项资金，重点保障基本支出，按轻重缓急顺序原则，优先安排了玛纳斯县乐土驿镇人民政府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就轻，对项目的打分松紧不一，会影响评价质量，在客观性和公正性。</w:t>
      </w:r>
    </w:p>
    <w:p w14:paraId="4608DEF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25A9002">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663851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76ACD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无其他需要说明的问题。</w:t>
      </w:r>
    </w:p>
    <w:p w14:paraId="654E2696">
      <w:pPr>
        <w:spacing w:line="540" w:lineRule="exact"/>
        <w:ind w:firstLine="567"/>
        <w:rPr>
          <w:rStyle w:val="18"/>
          <w:rFonts w:ascii="仿宋" w:hAnsi="仿宋" w:eastAsia="仿宋"/>
          <w:b w:val="0"/>
          <w:spacing w:val="-4"/>
          <w:sz w:val="32"/>
          <w:szCs w:val="32"/>
        </w:rPr>
      </w:pPr>
    </w:p>
    <w:p w14:paraId="1257C9B8">
      <w:pPr>
        <w:spacing w:line="540" w:lineRule="exact"/>
        <w:ind w:firstLine="567"/>
        <w:rPr>
          <w:rStyle w:val="18"/>
          <w:rFonts w:ascii="仿宋" w:hAnsi="仿宋" w:eastAsia="仿宋"/>
          <w:b w:val="0"/>
          <w:spacing w:val="-4"/>
          <w:sz w:val="32"/>
          <w:szCs w:val="32"/>
        </w:rPr>
      </w:pPr>
    </w:p>
    <w:p w14:paraId="7F827DD8">
      <w:pPr>
        <w:spacing w:line="540" w:lineRule="exact"/>
        <w:ind w:firstLine="567"/>
        <w:rPr>
          <w:rStyle w:val="18"/>
          <w:rFonts w:ascii="仿宋" w:hAnsi="仿宋" w:eastAsia="仿宋"/>
          <w:b w:val="0"/>
          <w:spacing w:val="-4"/>
          <w:sz w:val="32"/>
          <w:szCs w:val="32"/>
        </w:rPr>
      </w:pPr>
    </w:p>
    <w:p w14:paraId="7DF115EB">
      <w:pPr>
        <w:spacing w:line="540" w:lineRule="exact"/>
        <w:ind w:firstLine="567"/>
        <w:rPr>
          <w:rStyle w:val="18"/>
          <w:rFonts w:ascii="仿宋" w:hAnsi="仿宋" w:eastAsia="仿宋"/>
          <w:b w:val="0"/>
          <w:spacing w:val="-4"/>
          <w:sz w:val="32"/>
          <w:szCs w:val="32"/>
        </w:rPr>
      </w:pPr>
    </w:p>
    <w:p w14:paraId="6F21187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E01D523">
        <w:pPr>
          <w:pStyle w:val="12"/>
          <w:jc w:val="center"/>
        </w:pPr>
        <w:r>
          <w:fldChar w:fldCharType="begin"/>
        </w:r>
        <w:r>
          <w:instrText xml:space="preserve">PAGE   \* MERGEFORMAT</w:instrText>
        </w:r>
        <w:r>
          <w:fldChar w:fldCharType="separate"/>
        </w:r>
        <w:r>
          <w:rPr>
            <w:lang w:val="zh-CN"/>
          </w:rPr>
          <w:t>2</w:t>
        </w:r>
        <w:r>
          <w:fldChar w:fldCharType="end"/>
        </w:r>
      </w:p>
    </w:sdtContent>
  </w:sdt>
  <w:p w14:paraId="3DB9C1B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8E00EE2"/>
    <w:rsid w:val="3B5B5607"/>
    <w:rsid w:val="3CE21B3C"/>
    <w:rsid w:val="46AD611F"/>
    <w:rsid w:val="4D2606A1"/>
    <w:rsid w:val="51830480"/>
    <w:rsid w:val="53A616BE"/>
    <w:rsid w:val="54662BFB"/>
    <w:rsid w:val="62051CA5"/>
    <w:rsid w:val="6706254D"/>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5947</Words>
  <Characters>6410</Characters>
  <Lines>4</Lines>
  <Paragraphs>1</Paragraphs>
  <TotalTime>11</TotalTime>
  <ScaleCrop>false</ScaleCrop>
  <LinksUpToDate>false</LinksUpToDate>
  <CharactersWithSpaces>6622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2025-08-11T10:46:46Z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