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B1EB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992177E">
      <w:pPr>
        <w:spacing w:line="540" w:lineRule="exact"/>
        <w:jc w:val="center"/>
        <w:rPr>
          <w:rFonts w:ascii="华文中宋" w:hAnsi="华文中宋" w:eastAsia="华文中宋" w:cs="宋体"/>
          <w:b/>
          <w:kern w:val="0"/>
          <w:sz w:val="52"/>
          <w:szCs w:val="52"/>
        </w:rPr>
      </w:pPr>
    </w:p>
    <w:p w14:paraId="54400DA6">
      <w:pPr>
        <w:spacing w:line="540" w:lineRule="exact"/>
        <w:jc w:val="center"/>
        <w:rPr>
          <w:rFonts w:ascii="华文中宋" w:hAnsi="华文中宋" w:eastAsia="华文中宋" w:cs="宋体"/>
          <w:b/>
          <w:kern w:val="0"/>
          <w:sz w:val="52"/>
          <w:szCs w:val="52"/>
        </w:rPr>
      </w:pPr>
    </w:p>
    <w:p w14:paraId="3E1FC0DC">
      <w:pPr>
        <w:spacing w:line="540" w:lineRule="exact"/>
        <w:jc w:val="center"/>
        <w:rPr>
          <w:rFonts w:ascii="华文中宋" w:hAnsi="华文中宋" w:eastAsia="华文中宋" w:cs="宋体"/>
          <w:b/>
          <w:kern w:val="0"/>
          <w:sz w:val="52"/>
          <w:szCs w:val="52"/>
        </w:rPr>
      </w:pPr>
    </w:p>
    <w:p w14:paraId="37C1D720">
      <w:pPr>
        <w:spacing w:line="540" w:lineRule="exact"/>
        <w:jc w:val="center"/>
        <w:rPr>
          <w:rFonts w:ascii="华文中宋" w:hAnsi="华文中宋" w:eastAsia="华文中宋" w:cs="宋体"/>
          <w:b/>
          <w:kern w:val="0"/>
          <w:sz w:val="52"/>
          <w:szCs w:val="52"/>
        </w:rPr>
      </w:pPr>
    </w:p>
    <w:p w14:paraId="78E6558C">
      <w:pPr>
        <w:spacing w:line="540" w:lineRule="exact"/>
        <w:jc w:val="center"/>
        <w:rPr>
          <w:rFonts w:ascii="华文中宋" w:hAnsi="华文中宋" w:eastAsia="华文中宋" w:cs="宋体"/>
          <w:b/>
          <w:kern w:val="0"/>
          <w:sz w:val="52"/>
          <w:szCs w:val="52"/>
        </w:rPr>
      </w:pPr>
    </w:p>
    <w:p w14:paraId="6FB8839C">
      <w:pPr>
        <w:spacing w:line="540" w:lineRule="exact"/>
        <w:jc w:val="center"/>
        <w:rPr>
          <w:rFonts w:ascii="华文中宋" w:hAnsi="华文中宋" w:eastAsia="华文中宋" w:cs="宋体"/>
          <w:b/>
          <w:kern w:val="0"/>
          <w:sz w:val="52"/>
          <w:szCs w:val="52"/>
        </w:rPr>
      </w:pPr>
    </w:p>
    <w:p w14:paraId="0D0A184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AD004D5">
      <w:pPr>
        <w:spacing w:line="540" w:lineRule="exact"/>
        <w:jc w:val="center"/>
        <w:rPr>
          <w:rFonts w:ascii="华文中宋" w:hAnsi="华文中宋" w:eastAsia="华文中宋" w:cs="宋体"/>
          <w:b/>
          <w:kern w:val="0"/>
          <w:sz w:val="52"/>
          <w:szCs w:val="52"/>
        </w:rPr>
      </w:pPr>
    </w:p>
    <w:p w14:paraId="4A19FC8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A2A4192">
      <w:pPr>
        <w:spacing w:line="540" w:lineRule="exact"/>
        <w:jc w:val="center"/>
        <w:rPr>
          <w:rFonts w:hAnsi="宋体" w:eastAsia="仿宋_GB2312" w:cs="宋体"/>
          <w:kern w:val="0"/>
          <w:sz w:val="30"/>
          <w:szCs w:val="30"/>
        </w:rPr>
      </w:pPr>
    </w:p>
    <w:p w14:paraId="1BD18E1D">
      <w:pPr>
        <w:spacing w:line="540" w:lineRule="exact"/>
        <w:jc w:val="center"/>
        <w:rPr>
          <w:rFonts w:hAnsi="宋体" w:eastAsia="仿宋_GB2312" w:cs="宋体"/>
          <w:kern w:val="0"/>
          <w:sz w:val="30"/>
          <w:szCs w:val="30"/>
        </w:rPr>
      </w:pPr>
    </w:p>
    <w:p w14:paraId="1840DF20">
      <w:pPr>
        <w:spacing w:line="540" w:lineRule="exact"/>
        <w:jc w:val="center"/>
        <w:rPr>
          <w:rFonts w:hAnsi="宋体" w:eastAsia="仿宋_GB2312" w:cs="宋体"/>
          <w:kern w:val="0"/>
          <w:sz w:val="30"/>
          <w:szCs w:val="30"/>
        </w:rPr>
      </w:pPr>
    </w:p>
    <w:p w14:paraId="57E5F901">
      <w:pPr>
        <w:spacing w:line="540" w:lineRule="exact"/>
        <w:jc w:val="center"/>
        <w:rPr>
          <w:rFonts w:hAnsi="宋体" w:eastAsia="仿宋_GB2312" w:cs="宋体"/>
          <w:kern w:val="0"/>
          <w:sz w:val="30"/>
          <w:szCs w:val="30"/>
        </w:rPr>
      </w:pPr>
    </w:p>
    <w:p w14:paraId="18BF4F23">
      <w:pPr>
        <w:spacing w:line="540" w:lineRule="exact"/>
        <w:jc w:val="center"/>
        <w:rPr>
          <w:rFonts w:hAnsi="宋体" w:eastAsia="仿宋_GB2312" w:cs="宋体"/>
          <w:kern w:val="0"/>
          <w:sz w:val="30"/>
          <w:szCs w:val="30"/>
        </w:rPr>
      </w:pPr>
    </w:p>
    <w:p w14:paraId="218DE466">
      <w:pPr>
        <w:spacing w:line="540" w:lineRule="exact"/>
        <w:jc w:val="center"/>
        <w:rPr>
          <w:rFonts w:hAnsi="宋体" w:eastAsia="仿宋_GB2312" w:cs="宋体"/>
          <w:kern w:val="0"/>
          <w:sz w:val="30"/>
          <w:szCs w:val="30"/>
        </w:rPr>
      </w:pPr>
    </w:p>
    <w:p w14:paraId="7C708372">
      <w:pPr>
        <w:spacing w:line="540" w:lineRule="exact"/>
        <w:rPr>
          <w:rFonts w:hAnsi="宋体" w:eastAsia="仿宋_GB2312" w:cs="宋体"/>
          <w:kern w:val="0"/>
          <w:sz w:val="30"/>
          <w:szCs w:val="30"/>
        </w:rPr>
      </w:pPr>
    </w:p>
    <w:p w14:paraId="2E4823B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4ADAF4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玛纳斯县塔西河哈萨克族乡人民政府-2024年中央农村综合改革转移支付预算资金（塔西河乡）</w:t>
      </w:r>
    </w:p>
    <w:p w14:paraId="7081660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玛纳斯县塔西河哈萨克族乡人民政府</w:t>
      </w:r>
    </w:p>
    <w:p w14:paraId="6BCE914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玛纳斯县塔西河哈萨克族乡人民政府</w:t>
      </w:r>
    </w:p>
    <w:p w14:paraId="010186A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伊力江</w:t>
      </w:r>
      <w:bookmarkStart w:id="0" w:name="_GoBack"/>
      <w:bookmarkEnd w:id="0"/>
    </w:p>
    <w:p w14:paraId="3CA1C22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2025年03月06日</w:t>
      </w:r>
    </w:p>
    <w:p w14:paraId="3CC95CBF">
      <w:pPr>
        <w:spacing w:line="700" w:lineRule="exact"/>
        <w:ind w:firstLine="708" w:firstLineChars="236"/>
        <w:jc w:val="left"/>
        <w:rPr>
          <w:rFonts w:hAnsi="宋体" w:eastAsia="仿宋_GB2312" w:cs="宋体"/>
          <w:kern w:val="0"/>
          <w:sz w:val="30"/>
          <w:szCs w:val="30"/>
        </w:rPr>
      </w:pPr>
    </w:p>
    <w:p w14:paraId="6A9329D0">
      <w:pPr>
        <w:spacing w:line="540" w:lineRule="exact"/>
        <w:rPr>
          <w:rStyle w:val="18"/>
          <w:rFonts w:ascii="黑体" w:hAnsi="黑体" w:eastAsia="黑体"/>
          <w:b w:val="0"/>
          <w:spacing w:val="-4"/>
          <w:sz w:val="32"/>
          <w:szCs w:val="32"/>
        </w:rPr>
      </w:pPr>
    </w:p>
    <w:p w14:paraId="5F2C8E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90B1BA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5A7AB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黄台子村距玛纳斯县城46公里，属国家森林公园核心地带，地跨天山北坡和准噶尔盆地南部的平原绿洲，辖区有内陆河一条，水库一座。森林河谷、凤凰湖、伟人山、藏金洞、火烧山、五道垭、古塞人墓葬、火烧洼等十大景点，以及南山针叶林、雪山景观、冰山草原、丹霞地貌、白榆天然林等自然景观。基础设施较为不足，黄台子村中有商业区拥有餐饮、牧家乐等餐饮设施，需建设配套基础设施提升黄台子村整村村容村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主要内容：为黄台子村商业区地面硬化1500平方米，新建300米民族有特色铁艺造型围栏、太阳能景观灯、氛围灯共计50盏，配套路沿石、场地平整、滴灌、宣传牌等。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该项目的建设将提升该村基础设施实力，打造拥有民族特色的围栏，并提高商业区亮化程度，为促进塔西河乡黄台子村特色产业的生产打下坚实基础，推动该村产业发展稳定、长远发展，进一步推进农村公益事业建设。带动该村农村业态转型，拉动当地经济发展、促进农民增收、提高人们生活质量，推动资源优势向经济优势的快速转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塔西河乡人民政府成立本项目管理领导小组，并且下设项目管理办公室，设在村镇规划管理中心，办公室注意负责项目日常管理业务和项目的具体实施，包括项目施工管理、资料汇总、工作总结及其上报，协助领导小组督促、检查、指导项目实施情况及项目验收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塔西河乡黄台子村村容村貌改造项目预算安排总额为55万元，其中财政资金55万元，2024年实际收到预算资金55万元，预算资金到位率为100%。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截止2024年12月31日，塔西河乡黄台子村村容村貌改造项目实际支付资金54.02万元，预算执行率98.22%。项目资金主要用于硬化商业区地面1950平方米，新建300米民族有特色铁艺造型围栏、太阳能景观灯、氛围灯等。</w:t>
      </w:r>
    </w:p>
    <w:p w14:paraId="21D374D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9EAB8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本项目投入55万元，安装50盏太阳能景观灯、氛围灯 ，地面硬化面积1500平方米，工程验收合格率达到100%，完工及时率达到100%，太阳能单价小于等于3000元，其它基础设施综合费用450000元，使人居环境明显改善，受益群众满意度达到90%以上。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“安装太阳能景观灯、氛围灯”指标，预期指标值为≥50盏；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“地面硬化”指标，预期指标值为1500平方米；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“太阳能灯单价”指标，预期指标值为≤3000元；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“其他基础设施综合费用”指标，预期指标值为450000元；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“改善人居环境”指标，预期指标值为明显改善；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14:paraId="335025D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05ADA5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4F78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此次我单位根据《财政支出绩效评价管理暂行办法》（财预〔2020〕10号）文件要求对2024年度我单位实施的塔西河乡黄台子村村容村貌改造项目开展部门绩效评价。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727ECA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E3B73A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塔西河乡黄台子村村容村貌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本次绩效评价采用的方法比较法、因素分析法、公众评判法对项目绩效目标预期指标值与实施情况进行比较，以及采取公众问卷及抽样调查等方式进行评判的方法对塔西河乡黄台子村村容村貌改造项目进行评价。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7350939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DDC2C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塔西河乡黄台子村村容村貌改造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C6200A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210BD0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此次绩效评价通过组论证的评价指标体系及评分标准，采用的方法比较法、因素分析法、公众评判法，对塔西河乡黄台子村村容村貌改造项目绩效进行客观评价，最终评分结果：总分为9</w:t>
      </w:r>
      <w:r>
        <w:rPr>
          <w:rStyle w:val="18"/>
          <w:rFonts w:hint="eastAsia" w:ascii="楷体" w:hAnsi="楷体" w:eastAsia="楷体"/>
          <w:b w:val="0"/>
          <w:bCs w:val="0"/>
          <w:spacing w:val="-4"/>
          <w:sz w:val="32"/>
          <w:szCs w:val="32"/>
          <w:lang w:val="en-US" w:eastAsia="zh-CN"/>
        </w:rPr>
        <w:t>6.82</w:t>
      </w:r>
      <w:r>
        <w:rPr>
          <w:rStyle w:val="18"/>
          <w:rFonts w:hint="eastAsia" w:ascii="楷体" w:hAnsi="楷体" w:eastAsia="楷体"/>
          <w:b w:val="0"/>
          <w:bCs w:val="0"/>
          <w:spacing w:val="-4"/>
          <w:sz w:val="32"/>
          <w:szCs w:val="32"/>
        </w:rPr>
        <w:t>分，绩效评级为“优秀”。各部分权重和绩效汇总分值如下表3-1所示（详见上传的附件）：</w:t>
      </w:r>
    </w:p>
    <w:p w14:paraId="7690B95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D9EA5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937C93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①项目立项玛改发[2024]82号--关于塔西河乡黄台子村村容村貌改造项目的批复符合国家法律法规、国民经济发展规划和相关政策；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③事前经过根据玛改发[2024]82号--关于塔西河乡黄台子村村容村貌改造项目的批复确立本项目。改善牧区基础设施，提升农村人居环境。提升当地群众的生活幸福感和满足感。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按照昌州财农[2023]59号《关于提前下达2024年自治区农村综合改革转移支付预算的通知》，玛财农字[2023]16号《关于提前下达2024年自治区农村综合改革转移支付预算的通知》文件等相关要求。本项目资金全额用于实施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CC8964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F7F83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项目过程管理类指标由2个二级指标和5个三级指标构成，权重分20分，实际得分19.92分，各指标业绩值和绩效分值如表4-2所示（详见上传的附件）1.资金到位率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资金到位率=（55/55）×100%=100%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预算执行率=（54.02/55）×100%=98.22%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①已制定具有相应的《玛纳斯县兰州湾镇人民政府财务管理制度》和《玛纳斯县兰州湾镇项目管理制度》用以管理项目实施；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23C39C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0A1C6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项目产出类指标由3个二级指标和5个三级指标构成，权重分30分，实际得分29.1分，各指标业绩值和绩效分值如表4-3所示（详见上传的附件）：1.项目完成数量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“安装太阳能景观灯、氛围灯”指标，预期指标值为≥50盏，实际完成为50盏。实际完成率=（50/50）×100%=100%。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“地面硬化”指标，预期指标值为1500平方米，实际完成为1950平方米。实际完成率=（1950/1500）×100%=130%。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未完成原因：本项目计划完成1500平方米地面硬化，在实际项目施工过程中根据实地情况增加铺设部分花砖，故实际完成值大于计划值。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综上，该项指标满分8分，得分7.1分。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“太阳能灯单价（元/个）”指标，预期指标值为≤3000，实际完成为2228元。实际完成率100%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“其他基础设施综合费用”指标，预期指标值为450000，实际完成为450000。实际完成率100%。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1B529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FA62FA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项目效益类指标由1个二级指标和1个三级指标构成，权重分15分，实际得分15分，各指标业绩值和绩效分值如表4-4所示（详见上传的附件）：1社会效益指标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“社会效益环境”指标，预期指标值为明显改善，实际完成为明显改善。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通过项目的实施有效改善人居环境，打造新时代美丽乡村。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049BB11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21E570C">
      <w:pPr>
        <w:spacing w:line="540" w:lineRule="exact"/>
        <w:ind w:firstLine="567"/>
        <w:rPr>
          <w:rStyle w:val="18"/>
          <w:rFonts w:hint="eastAsia" w:ascii="楷体" w:hAnsi="楷体" w:eastAsia="楷体"/>
          <w:b w:val="0"/>
          <w:bCs w:val="0"/>
          <w:spacing w:val="-4"/>
          <w:sz w:val="32"/>
          <w:szCs w:val="32"/>
        </w:rPr>
      </w:pPr>
    </w:p>
    <w:p w14:paraId="56E32328">
      <w:pPr>
        <w:spacing w:line="540" w:lineRule="exact"/>
        <w:ind w:firstLine="567"/>
        <w:rPr>
          <w:rStyle w:val="18"/>
          <w:rFonts w:ascii="楷体" w:hAnsi="楷体" w:eastAsia="楷体"/>
          <w:spacing w:val="-4"/>
          <w:sz w:val="32"/>
          <w:szCs w:val="32"/>
        </w:rPr>
      </w:pPr>
    </w:p>
    <w:p w14:paraId="37F9584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8F6A79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塔西河乡黄台子村村容村貌改造项目2024年预算数为54.03万元，截至2024年12月31日共支出54.03万元，预算执行率为100%。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西河乡人民政府建立健全了预算管理规章制度，各部门严格按预算编制的原则和要求做好当年预算编制工作，在预算绩效管理工作中，做到合理安排各项资金，重点保障基本支出，按轻重缓急顺序原则，优先安排了塔西河乡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1、工程进度缓慢，该项目中标后，施工方由于自身队伍的原因，例如安排计划不合理，人员不足等，导致工程进度缓慢，需要甲方不停地督促。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2、工程管理存在不够重视，项目建设现在对于进度和质量更为重视，对于工程管理不够重视，认为工程管理的意义不大，资料和档案的整理和规范还有待加强。</w:t>
      </w:r>
    </w:p>
    <w:p w14:paraId="570ABB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DA05E1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项目前期调研，深入了解村民需求和项目目标，制定科学合理的绩效指标体系，将项目效益量化、具体化。二是建立健全项目组织保障机制，明确责任主体，加强部门间沟通协调，形成工作合力，确保项目顺利实施。</w:t>
      </w:r>
    </w:p>
    <w:p w14:paraId="60982F4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8A1F2D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7F664CED">
      <w:pPr>
        <w:spacing w:line="540" w:lineRule="exact"/>
        <w:ind w:firstLine="567"/>
        <w:rPr>
          <w:rStyle w:val="18"/>
          <w:rFonts w:ascii="仿宋" w:hAnsi="仿宋" w:eastAsia="仿宋"/>
          <w:b w:val="0"/>
          <w:spacing w:val="-4"/>
          <w:sz w:val="32"/>
          <w:szCs w:val="32"/>
        </w:rPr>
      </w:pPr>
    </w:p>
    <w:p w14:paraId="7633395D">
      <w:pPr>
        <w:spacing w:line="540" w:lineRule="exact"/>
        <w:ind w:firstLine="567"/>
        <w:rPr>
          <w:rStyle w:val="18"/>
          <w:rFonts w:ascii="仿宋" w:hAnsi="仿宋" w:eastAsia="仿宋"/>
          <w:b w:val="0"/>
          <w:spacing w:val="-4"/>
          <w:sz w:val="32"/>
          <w:szCs w:val="32"/>
        </w:rPr>
      </w:pPr>
    </w:p>
    <w:p w14:paraId="7A840265">
      <w:pPr>
        <w:spacing w:line="540" w:lineRule="exact"/>
        <w:ind w:firstLine="567"/>
        <w:rPr>
          <w:rStyle w:val="18"/>
          <w:rFonts w:ascii="仿宋" w:hAnsi="仿宋" w:eastAsia="仿宋"/>
          <w:b w:val="0"/>
          <w:spacing w:val="-4"/>
          <w:sz w:val="32"/>
          <w:szCs w:val="32"/>
        </w:rPr>
      </w:pPr>
    </w:p>
    <w:p w14:paraId="5AAF45A4">
      <w:pPr>
        <w:spacing w:line="540" w:lineRule="exact"/>
        <w:ind w:firstLine="567"/>
        <w:rPr>
          <w:rStyle w:val="18"/>
          <w:rFonts w:ascii="仿宋" w:hAnsi="仿宋" w:eastAsia="仿宋"/>
          <w:b w:val="0"/>
          <w:spacing w:val="-4"/>
          <w:sz w:val="32"/>
          <w:szCs w:val="32"/>
        </w:rPr>
      </w:pPr>
    </w:p>
    <w:p w14:paraId="4749ECF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260D54D">
        <w:pPr>
          <w:pStyle w:val="12"/>
          <w:jc w:val="center"/>
        </w:pPr>
        <w:r>
          <w:fldChar w:fldCharType="begin"/>
        </w:r>
        <w:r>
          <w:instrText xml:space="preserve">PAGE   \* MERGEFORMAT</w:instrText>
        </w:r>
        <w:r>
          <w:fldChar w:fldCharType="separate"/>
        </w:r>
        <w:r>
          <w:rPr>
            <w:lang w:val="zh-CN"/>
          </w:rPr>
          <w:t>2</w:t>
        </w:r>
        <w:r>
          <w:fldChar w:fldCharType="end"/>
        </w:r>
      </w:p>
    </w:sdtContent>
  </w:sdt>
  <w:p w14:paraId="22BFA7F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A2E1A"/>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B6662F"/>
    <w:rsid w:val="0BFB189F"/>
    <w:rsid w:val="0F58071E"/>
    <w:rsid w:val="11BD75F7"/>
    <w:rsid w:val="13BE561A"/>
    <w:rsid w:val="15392994"/>
    <w:rsid w:val="18FE139B"/>
    <w:rsid w:val="3029612C"/>
    <w:rsid w:val="32A221C5"/>
    <w:rsid w:val="33F20F2A"/>
    <w:rsid w:val="34C44675"/>
    <w:rsid w:val="3B5B5607"/>
    <w:rsid w:val="3CE21B3C"/>
    <w:rsid w:val="46AD611F"/>
    <w:rsid w:val="4D2606A1"/>
    <w:rsid w:val="4FA072C5"/>
    <w:rsid w:val="51830480"/>
    <w:rsid w:val="53A616BE"/>
    <w:rsid w:val="54662BFB"/>
    <w:rsid w:val="62051CA5"/>
    <w:rsid w:val="6C3A69EF"/>
    <w:rsid w:val="6E7E2BA1"/>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5825</Words>
  <Characters>6158</Characters>
  <Lines>4</Lines>
  <Paragraphs>1</Paragraphs>
  <TotalTime>12</TotalTime>
  <ScaleCrop>false</ScaleCrop>
  <LinksUpToDate>false</LinksUpToDate>
  <CharactersWithSpaces>6173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2025-08-12T03:05:36Z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