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3EA0B0F">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14:paraId="7C9DB878">
      <w:pPr>
        <w:spacing w:line="540" w:lineRule="exact"/>
        <w:jc w:val="center"/>
        <w:rPr>
          <w:rFonts w:ascii="华文中宋" w:hAnsi="华文中宋" w:eastAsia="华文中宋" w:cs="宋体"/>
          <w:b/>
          <w:kern w:val="0"/>
          <w:sz w:val="52"/>
          <w:szCs w:val="52"/>
        </w:rPr>
      </w:pPr>
    </w:p>
    <w:p w14:paraId="666A3DF2">
      <w:pPr>
        <w:spacing w:line="540" w:lineRule="exact"/>
        <w:jc w:val="center"/>
        <w:rPr>
          <w:rFonts w:ascii="华文中宋" w:hAnsi="华文中宋" w:eastAsia="华文中宋" w:cs="宋体"/>
          <w:b/>
          <w:kern w:val="0"/>
          <w:sz w:val="52"/>
          <w:szCs w:val="52"/>
        </w:rPr>
      </w:pPr>
    </w:p>
    <w:p w14:paraId="3BB118D9">
      <w:pPr>
        <w:spacing w:line="540" w:lineRule="exact"/>
        <w:jc w:val="center"/>
        <w:rPr>
          <w:rFonts w:ascii="华文中宋" w:hAnsi="华文中宋" w:eastAsia="华文中宋" w:cs="宋体"/>
          <w:b/>
          <w:kern w:val="0"/>
          <w:sz w:val="52"/>
          <w:szCs w:val="52"/>
        </w:rPr>
      </w:pPr>
    </w:p>
    <w:p w14:paraId="3A0E0E0A">
      <w:pPr>
        <w:spacing w:line="540" w:lineRule="exact"/>
        <w:jc w:val="center"/>
        <w:rPr>
          <w:rFonts w:ascii="华文中宋" w:hAnsi="华文中宋" w:eastAsia="华文中宋" w:cs="宋体"/>
          <w:b/>
          <w:kern w:val="0"/>
          <w:sz w:val="52"/>
          <w:szCs w:val="52"/>
        </w:rPr>
      </w:pPr>
    </w:p>
    <w:p w14:paraId="3B6C5315">
      <w:pPr>
        <w:spacing w:line="540" w:lineRule="exact"/>
        <w:jc w:val="center"/>
        <w:rPr>
          <w:rFonts w:ascii="华文中宋" w:hAnsi="华文中宋" w:eastAsia="华文中宋" w:cs="宋体"/>
          <w:b/>
          <w:kern w:val="0"/>
          <w:sz w:val="52"/>
          <w:szCs w:val="52"/>
        </w:rPr>
      </w:pPr>
    </w:p>
    <w:p w14:paraId="6484CC0C">
      <w:pPr>
        <w:spacing w:line="540" w:lineRule="exact"/>
        <w:jc w:val="center"/>
        <w:rPr>
          <w:rFonts w:ascii="华文中宋" w:hAnsi="华文中宋" w:eastAsia="华文中宋" w:cs="宋体"/>
          <w:b/>
          <w:kern w:val="0"/>
          <w:sz w:val="52"/>
          <w:szCs w:val="52"/>
        </w:rPr>
      </w:pPr>
    </w:p>
    <w:p w14:paraId="5D02EC15">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14:paraId="3AABE9C8">
      <w:pPr>
        <w:spacing w:line="540" w:lineRule="exact"/>
        <w:jc w:val="center"/>
        <w:rPr>
          <w:rFonts w:ascii="华文中宋" w:hAnsi="华文中宋" w:eastAsia="华文中宋" w:cs="宋体"/>
          <w:b/>
          <w:kern w:val="0"/>
          <w:sz w:val="52"/>
          <w:szCs w:val="52"/>
        </w:rPr>
      </w:pPr>
    </w:p>
    <w:p w14:paraId="4F472CAE">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2024</w:t>
      </w:r>
      <w:r>
        <w:rPr>
          <w:rFonts w:hint="eastAsia" w:hAnsi="宋体" w:eastAsia="仿宋_GB2312" w:cs="宋体"/>
          <w:kern w:val="0"/>
          <w:sz w:val="36"/>
          <w:szCs w:val="36"/>
        </w:rPr>
        <w:t xml:space="preserve">  年度）</w:t>
      </w:r>
    </w:p>
    <w:p w14:paraId="4E8CFE26">
      <w:pPr>
        <w:spacing w:line="540" w:lineRule="exact"/>
        <w:jc w:val="center"/>
        <w:rPr>
          <w:rFonts w:hAnsi="宋体" w:eastAsia="仿宋_GB2312" w:cs="宋体"/>
          <w:kern w:val="0"/>
          <w:sz w:val="30"/>
          <w:szCs w:val="30"/>
        </w:rPr>
      </w:pPr>
    </w:p>
    <w:p w14:paraId="3FE63BDF">
      <w:pPr>
        <w:spacing w:line="540" w:lineRule="exact"/>
        <w:jc w:val="center"/>
        <w:rPr>
          <w:rFonts w:hAnsi="宋体" w:eastAsia="仿宋_GB2312" w:cs="宋体"/>
          <w:kern w:val="0"/>
          <w:sz w:val="30"/>
          <w:szCs w:val="30"/>
        </w:rPr>
      </w:pPr>
    </w:p>
    <w:p w14:paraId="13899763">
      <w:pPr>
        <w:spacing w:line="540" w:lineRule="exact"/>
        <w:jc w:val="center"/>
        <w:rPr>
          <w:rFonts w:hAnsi="宋体" w:eastAsia="仿宋_GB2312" w:cs="宋体"/>
          <w:kern w:val="0"/>
          <w:sz w:val="30"/>
          <w:szCs w:val="30"/>
        </w:rPr>
      </w:pPr>
    </w:p>
    <w:p w14:paraId="3EA7BDD4">
      <w:pPr>
        <w:spacing w:line="540" w:lineRule="exact"/>
        <w:jc w:val="center"/>
        <w:rPr>
          <w:rFonts w:hAnsi="宋体" w:eastAsia="仿宋_GB2312" w:cs="宋体"/>
          <w:kern w:val="0"/>
          <w:sz w:val="30"/>
          <w:szCs w:val="30"/>
        </w:rPr>
      </w:pPr>
    </w:p>
    <w:p w14:paraId="4554FB69">
      <w:pPr>
        <w:spacing w:line="540" w:lineRule="exact"/>
        <w:jc w:val="center"/>
        <w:rPr>
          <w:rFonts w:hAnsi="宋体" w:eastAsia="仿宋_GB2312" w:cs="宋体"/>
          <w:kern w:val="0"/>
          <w:sz w:val="30"/>
          <w:szCs w:val="30"/>
        </w:rPr>
      </w:pPr>
    </w:p>
    <w:p w14:paraId="79BEAAE7">
      <w:pPr>
        <w:spacing w:line="540" w:lineRule="exact"/>
        <w:jc w:val="center"/>
        <w:rPr>
          <w:rFonts w:hAnsi="宋体" w:eastAsia="仿宋_GB2312" w:cs="宋体"/>
          <w:kern w:val="0"/>
          <w:sz w:val="30"/>
          <w:szCs w:val="30"/>
        </w:rPr>
      </w:pPr>
    </w:p>
    <w:p w14:paraId="2BB0AA2B">
      <w:pPr>
        <w:spacing w:line="540" w:lineRule="exact"/>
        <w:rPr>
          <w:rFonts w:hAnsi="宋体" w:eastAsia="仿宋_GB2312" w:cs="宋体"/>
          <w:kern w:val="0"/>
          <w:sz w:val="30"/>
          <w:szCs w:val="30"/>
        </w:rPr>
      </w:pPr>
    </w:p>
    <w:p w14:paraId="3B56EA95">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775C97D7">
      <w:pPr>
        <w:spacing w:line="700" w:lineRule="exact"/>
        <w:ind w:firstLine="900" w:firstLineChars="250"/>
        <w:jc w:val="left"/>
        <w:rPr>
          <w:rStyle w:val="18"/>
          <w:rFonts w:hint="eastAsia" w:ascii="楷体" w:hAnsi="楷体" w:eastAsia="楷体" w:cs="宋体"/>
          <w:spacing w:val="-4"/>
          <w:kern w:val="0"/>
          <w:sz w:val="32"/>
          <w:szCs w:val="32"/>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玛纳斯县玛纳斯镇中心幼儿园-2023-2024年自治区中小学校长、名师、名班主任工作室建设经费</w:t>
      </w:r>
    </w:p>
    <w:p w14:paraId="06BC11AD">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玛纳斯县玛纳斯镇</w:t>
      </w:r>
      <w:r>
        <w:rPr>
          <w:rStyle w:val="18"/>
          <w:rFonts w:hint="eastAsia" w:ascii="楷体" w:hAnsi="楷体" w:eastAsia="楷体"/>
          <w:spacing w:val="-4"/>
          <w:sz w:val="28"/>
          <w:szCs w:val="28"/>
          <w:lang w:val="en-US" w:eastAsia="zh-CN"/>
        </w:rPr>
        <w:t>中心</w:t>
      </w:r>
      <w:r>
        <w:rPr>
          <w:rStyle w:val="18"/>
          <w:rFonts w:hint="eastAsia" w:ascii="楷体" w:hAnsi="楷体" w:eastAsia="楷体"/>
          <w:spacing w:val="-4"/>
          <w:sz w:val="28"/>
          <w:szCs w:val="28"/>
        </w:rPr>
        <w:t>幼儿园</w:t>
      </w:r>
    </w:p>
    <w:p w14:paraId="7D042050">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玛纳斯县玛纳斯镇</w:t>
      </w:r>
      <w:r>
        <w:rPr>
          <w:rStyle w:val="18"/>
          <w:rFonts w:hint="eastAsia" w:ascii="楷体" w:hAnsi="楷体" w:eastAsia="楷体"/>
          <w:spacing w:val="-4"/>
          <w:sz w:val="28"/>
          <w:szCs w:val="28"/>
          <w:lang w:val="en-US" w:eastAsia="zh-CN"/>
        </w:rPr>
        <w:t>中心</w:t>
      </w:r>
      <w:r>
        <w:rPr>
          <w:rStyle w:val="18"/>
          <w:rFonts w:hint="eastAsia" w:ascii="楷体" w:hAnsi="楷体" w:eastAsia="楷体"/>
          <w:spacing w:val="-4"/>
          <w:sz w:val="28"/>
          <w:szCs w:val="28"/>
        </w:rPr>
        <w:t>幼儿园</w:t>
      </w:r>
    </w:p>
    <w:p w14:paraId="46E98978">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连静</w:t>
      </w:r>
    </w:p>
    <w:p w14:paraId="74C9951A">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2025年03月24日</w:t>
      </w:r>
      <w:bookmarkStart w:id="0" w:name="_GoBack"/>
      <w:bookmarkEnd w:id="0"/>
    </w:p>
    <w:p w14:paraId="45315FFB">
      <w:pPr>
        <w:spacing w:line="700" w:lineRule="exact"/>
        <w:ind w:firstLine="708" w:firstLineChars="236"/>
        <w:jc w:val="left"/>
        <w:rPr>
          <w:rFonts w:hAnsi="宋体" w:eastAsia="仿宋_GB2312" w:cs="宋体"/>
          <w:kern w:val="0"/>
          <w:sz w:val="30"/>
          <w:szCs w:val="30"/>
        </w:rPr>
      </w:pPr>
    </w:p>
    <w:p w14:paraId="3B8B9AAA">
      <w:pPr>
        <w:spacing w:line="540" w:lineRule="exact"/>
        <w:rPr>
          <w:rStyle w:val="18"/>
          <w:rFonts w:ascii="黑体" w:hAnsi="黑体" w:eastAsia="黑体"/>
          <w:b w:val="0"/>
          <w:spacing w:val="-4"/>
          <w:sz w:val="32"/>
          <w:szCs w:val="32"/>
        </w:rPr>
      </w:pPr>
    </w:p>
    <w:p w14:paraId="2BDA1C63">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14:paraId="33D601FA">
      <w:pPr>
        <w:spacing w:line="540" w:lineRule="exact"/>
        <w:ind w:firstLine="567"/>
        <w:rPr>
          <w:rStyle w:val="18"/>
          <w:rFonts w:hint="default" w:ascii="楷体" w:hAnsi="楷体" w:eastAsia="楷体"/>
          <w:spacing w:val="-4"/>
          <w:sz w:val="32"/>
          <w:szCs w:val="32"/>
          <w:lang w:val="en-US" w:eastAsia="zh-CN"/>
        </w:rPr>
      </w:pPr>
      <w:r>
        <w:rPr>
          <w:rStyle w:val="18"/>
          <w:rFonts w:hint="eastAsia" w:ascii="楷体" w:hAnsi="楷体" w:eastAsia="楷体"/>
          <w:spacing w:val="-4"/>
          <w:sz w:val="32"/>
          <w:szCs w:val="32"/>
        </w:rPr>
        <w:t>（一）项目概况</w:t>
      </w:r>
      <w:r>
        <w:rPr>
          <w:rStyle w:val="18"/>
          <w:rFonts w:hint="eastAsia" w:ascii="楷体" w:hAnsi="楷体" w:eastAsia="楷体"/>
          <w:spacing w:val="-4"/>
          <w:sz w:val="32"/>
          <w:szCs w:val="32"/>
          <w:lang w:eastAsia="zh-CN"/>
        </w:rPr>
        <w:t>。</w:t>
      </w:r>
    </w:p>
    <w:p w14:paraId="5584E984">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（一）项目概况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截止2024年12月31日，“2024年教育系统州级名班主任工作室建设经费专项行动经费”项目实际支付资金2万元，预算执行率100%。结转结余资金0万元。项目资金主要用于名班主任工作室专业技能的提高等方面。</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2.主要内容及实施情况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主要内容：项目的实施主要用于教师的专业成长，引领学科教育高质量发展，提高学科教育质量。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组织实施：本项目于2024年1月开始实施，截止2024年12月已全部完成，通过本项目的实施，幼儿园学前教育教师专业发展、教学研究、资源共享、教育均衡等方面发挥了主要作用，最终促进教育质量提升。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3.资金投入和使用情况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（1）项目资金安排落实、总投入等情况分析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玛纳斯县玛纳斯镇中心幼儿园“2024年教育系统州级名班主任工作室建设经费专项行动经费”项目预算安排总额为2万元，其中财政资金2万元，其他资金0万元，2024年实际收到预算资金2万元，预算资金到位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（2）项目资金实际使用情况分析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截止2024年12月31日，“2024年教育系统州级名班主任工作室建设经费专项行动经费”项目实际支付资金2万元，预算执行率100%。结转结余资金0万元。项目资金主要用于名班主任工作室专业技能的提高等方面。</w:t>
      </w:r>
    </w:p>
    <w:p w14:paraId="34A1ABE3">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14:paraId="1BA107DA">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1.总体目标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2024年名班主任工作室专项行动经费项目绩效总体目标为：名班主任工作室经费使用率达到100%，达到引领学科教育高质量发展，提高学科教育质量，使学生满意度达到95%以上。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2.阶段性目标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预算法》、《财政支出绩效评价管理暂行办法》（财预〔2020〕10号）、《自治区党委自治区人民政府关于全面实施预算绩效管理的实施意见》（新党发〔2018〕30号）、《自治区财政支出绩效评价管理暂行办法》（新财预〔2018〕189号）等文件的规定，结合项目实施单位的规章制度以及财务相关资料，评价小组对项目绩效目标进行了进一步的完善，完善后绩效目标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（1）项目产出目标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①数量指标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名班主任工作室指标，预期指标值为=1个；</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②质量指标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“资金发放准确率”指标，预期指标值为=100%；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③时效指标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“资金拨付及时率”指标，预期指标值为=100%；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（2）项目成本目标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①经济成本指标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“资金预算规模”指标，预期指标值为2万元；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“预算支出控制率”指标，预期指标值为=100%；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（3）项目效益目标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①社会效益指标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“教育教学水平有效提高”指标，预期指标值为有效提高；</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（4）满意度指标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“学生满意度”指标，预期指标值为&gt;=95%。</w:t>
      </w:r>
    </w:p>
    <w:p w14:paraId="15913AED">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14:paraId="68AF5F83">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14:paraId="2721D411">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1.绩效评价的目的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为全面了解该项目预算编制合理性、资金使用合规性、项目管理的规范性、绩效目标的实现情况、服务对象的满意度等，通过本次部门绩效评价来总结经验和教训，促进项目成果转化和应用，为今后类似项目的长效管理，提供可行性参考建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2.绩效评价的对象和范围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此次我单位根据《财政支出绩效评价管理暂行办法》（财预〔2020〕10号）文件要求对2024年度我单位实施的2024年教育系统州级名班主任工作室建设经费专项行动经费项目开展部门绩效评价。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本次绩效评价主要围绕项目决策、项目管理、项目产出、项目效益四个维度，对该专项资金的预算编制、项目实施、监督管理、资金支出使用、绩效目标的实现情况以及受益对象的满意度等开展综合评价。</w:t>
      </w:r>
    </w:p>
    <w:p w14:paraId="205EEC6B">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14:paraId="0F4FD4B5">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依据《财政支出绩效评价管理暂行办法》（财预〔2020〕10号）本次绩效评价秉承科学规范、公正公开、分级分类、绩效相关等原则，按照从投入、过程到产出效果和影响的绩效逻辑路径，结合2024年教育系统州级名班主任工作室建设经费专项行动经费项目实际开展情况，运用定量和定性分析相结合的方法，总结经验做法，反思项目实施和管理中的问题，以切实提升财政资金管理的科学化、规范化和精细化水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根据以上原则，绩效评价应遵循如下要求：</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（1）科学公正。绩效评价应当运用科学合理的方法，按照规范的程序，对项目绩效进行客观、公正的反映。</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（2）统筹兼顾。单位自评、部门评价和财政评价应职责明确，各有侧重，相互衔接。单位自评应由项目单位自主实施，即“谁支出、谁自评”。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（3）激励约束。绩效评价结果应与预算安排、政策调整、改进管理实质性挂钩，体现奖优罚劣和激励相容导向，有效要安排、低效要压减、无效要问责。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（4）公开透明。绩效评价结果应依法依规公开，并自觉接受社会监督。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2.绩效评价指标体系及绩效评价标准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我单位根据项目的实施资料研读及前期调研，结合项目的实际开展情况，最终形成了项目绩效评价指标体系</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3.评价方法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采用的方法比较法、因素分析法、公众评判法对项目绩效目标预期指标值与实施情况进行比较，以及采取公众问卷及抽样调查等方式进行评判的方法对2024年教育系统州级名班主任工作室建设经费专项行动经费项目进行评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（1）计划标准。指以预先制定的目标、计划、预算、定额等作为评价标准。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（2）行业标准。指参照国家公布的行业指标数据制定的评价标准。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（3）历史标准。指参照历史数据制定的评价标准，为体现绩效改进的原则，在可实现的条件下应当确定相对较高的评价标准。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（4）财政部门和预算部门确认或认可的其他标准。</w:t>
      </w:r>
    </w:p>
    <w:p w14:paraId="0BF1CF66">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14:paraId="5B69A6AB">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1.前期准备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（1）成立绩效评价项目小组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马  兰：全面负责本工作室的日常业务工作，带领工作室团队按规划开展系列活动。</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王雪涛：负责组织、领导、监督工作室运行，为工作室提供后勤保障，协调解决工作室运行中出现的困难和问题，确保工作室正常运行，完成既定目标任务。</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王璐 张晶：负责工作室成员撰写的文案审稿和推荐发表工作。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王 雪 聂灵燕  ：负责组织开展教育教学研究及实践活动，组织学员外出学习、交流。</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毕福昌 秦丽娟 ：负责工作室网站管理及资源上传工作，并指导全体成员定期上传资源和在线交流。</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龚紫薇：负责工作室微信公众号的管理和工作室召开会议、开展活动的通知及记录工作。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王 芳：负责工作室成员上交资料的收集、整理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 赵春霞：负责工作室工作简报及新闻稿件的撰写。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全体成员及学员：及时总结教育教学经验，撰写成文投稿发表并上传工作室网站和微信平台分享；主动提供课题研究、课标解读、教材答疑、教学心得、精品教案、经典游戏、课堂实录等上传资源素材。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（2）开展前期调研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项目小组依据此次绩效评价受委托内容，对拟评价的项目实施前期调研。通过调研对2024年教育系统州级名班主任工作室建设经费项目实施内容、目标信息、预算信息以及其他的一些项目基本信息，有了初步了解，为制定绩效评价工作方案做好准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（3）制订绩效评价工作方案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绩效评价项目小组根据有关规定和评价对象的特点以及前期调研收集的一些信息，拟定详细的绩效评价工作方案。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2.具体实施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（1）收集基础资料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（1）收集基础资料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根据评价工作的需要和要求，在前期调研的基础上，通过多种渠道全面收集项目基础信息资料，主要包括：</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①被评价单位基本概况，如单位职能、事业发展规划、预决算情况、项目立项依据等；</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②绩效目标及其设立依据和调整情况；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③管理措施及组织实施情况；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④被评价单位总结分析的绩效目标完成情况及绩效报告；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⑤与绩效评价相关的计划标准、行业标准、历史标准等；</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⑥其他必要的相关资料等。</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（2）整理、研读基础资料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对收集的基础资料进行分类整理、研读，并对所收集的资料进行核实和全面分析。通过基础资料的整理、研读，了解被评价对象的具体情况，分析被评价对象可能存在的问题，根据工作需要确定实地核查的内容，为现场核查做好准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3.分析评价和撰写报告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（1）综合分析评价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①根据所收集的基础资料，结合现场核查的有关情况，整理出绩效评价所需的项目材料和基础数据。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②将初步评价结论、调整事项、专家咨询意见和有关说明等提交单位内部讨论并征求意见。之后，对所征求的意见及时地进行收集和整理。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（2）撰写报告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绩效评价项目小组依照整理、分析后的项目材料、数据资料，依据评价形成的初步结论，按照既定的格式和内容要求撰写绩效评价初步报告，最终形成评价结果。</w:t>
      </w:r>
    </w:p>
    <w:p w14:paraId="23F4FF53">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14:paraId="13D93611">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此次绩效评价通过组论证的评价指标体系及评分标准，采用的方法比较法、因素分析法、公众评判法，对2024年教育系统州级名班主任工作室建设经费项目绩效进行客观评价，最终评分结果：总分为100分，绩效评级为“优秀”。</w:t>
      </w:r>
    </w:p>
    <w:p w14:paraId="52F00FE5">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14:paraId="5F940BF6">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14:paraId="16C67C20">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项目决策由3个二级指标和6个三级指标构成，权重分20分，实际得分20分。1.立项依据充分性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①根据昌州财教[2024]31号《关于拨付2023-2024年中小学名校长、名师、名班主任工作室建设经费》文件要求，项目立项符合国家法律法规、国民经济发展规划和相关政策；</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②项目立项符合行业发展规划和政策要求；</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③项目立项与部门职责范围相符，属于部门履职所需；</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④项目属于公共财政支持范围，符合中央、地方事权支出责任划分原则；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⑤项目与相关部门同类项目或部门内部相关项目不重复。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综上，该项指标满分2分，得分2分。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2.立项程序规范性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①项目按照规定的程序申请设立；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②审批文件、材料符合相关要求；</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③事前经过必要的绩效评估、集体决策。</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综上，该项指标满分3分，得分3分。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3.绩效目标合理性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①项目有绩效目标；2023-2024年中小学名校长、名师、名班主任工作室建设经费项目，根据项目实际需求和实际工作内容共设置一级目标四个，二级目标六个，三级目标八个。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②项目绩效目标与实际工作内容具有相关性；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③项目预期产出效益和效果符合正常的业绩水平；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④与预算确定的项目投资额或资金量相匹配。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综上，该项指标满分5分，得分5分。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4.绩效指标明确性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①将项目绩效目标细化分解为具体的绩效指标；根据项目实际需求和实际工作内容共设置一级目标四个，二级目标六个，三级目标八个</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②具体的三级目标都是通过清晰、可衡量的指标值予以体现；</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③与项目目标任务数或计划数相对应。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综上，该项指标满分5分，得分5分。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5.预算编制科学性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预算编制经过科学论证：昌吉州2023-2024年中小学名校长、名师、名班主任工作室建设经费项目段预算中，与2024年中小学名校长、名师、名班主任工作室建设经费项目完全一致，预算额度按2023-2024年中小学名校长、名师、名班主任工作室建设经费项目的经费标准安排预算。</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②预算内容与项目内容匹配；2023-2024年中小学名校长、名师、名班主任工作室建设经费项目与项目内容完全一致。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③预算额度测算依据充分，按照标准编制；预算额度按照2023-2024年中小学名校长、名师、名班主任工作室建设经费项目的经费标准进行预算。</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④预算确定的项目投资额或资金量与工作任务相匹配。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综上，该项指标满分2分，得分2分。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6.资金分配合理性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①预算资金分配依据充分：根据昌吉州【2024】31号关于拨付2023-2024年中小学名校长、名师、名班主任工作室建设经费项目项目文件要求分配资金。</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②资金分配额度合理，与项目单位或地方实际相适应。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综上，该项指标满分3分，得分3分。</w:t>
      </w:r>
      <w:r>
        <w:rPr>
          <w:rStyle w:val="18"/>
          <w:rFonts w:hint="eastAsia" w:ascii="楷体" w:hAnsi="楷体" w:eastAsia="楷体"/>
          <w:b w:val="0"/>
          <w:bCs w:val="0"/>
          <w:spacing w:val="-4"/>
          <w:sz w:val="32"/>
          <w:szCs w:val="32"/>
        </w:rPr>
        <w:tab/>
      </w:r>
    </w:p>
    <w:p w14:paraId="4BF7152B">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14:paraId="4493D18E">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项目过程管理类指标由2个二级指标和5个三级指标构成，权重分20分，实际得分20分。1.资金到位率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资金到位率=（2/2）×100%=100%。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2.预算执行率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预算执行率=（2/2）×100%=100%。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3.资金使用合规性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①昌吉州2023-2024年中小学名校长、名师、名班主任工作室建设经费项目使用，符合国家财经法规和财务管理制度以及有关专项资金管理办法的规定；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②资金的拨付有完整的审批程序和手续；</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③符合项目预算批复或合同规定的用途；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④不存在截留、挤占、挪用、虚列支出等情况。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4.管理制度健全性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①已制定相应的财务制度：根据昌吉州【2024】31号关于拨付2023-2024年中小学名校长、名师、名班主任工作室建设经费项目的通知》、《玛纳斯县玛纳斯镇中心幼儿园财务管理制度》</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②财务和业务管理制度合法、合规、完整。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5.制度执行有效性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①遵守相关法律法规和相关管理规定；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②项目调整及支出调整手续完备；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③项目合同书、验收报告、技术鉴定等资料齐全并及时归档；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④项目实施的人员条件、场地设备、信息支撑等落实到位。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p>
    <w:p w14:paraId="734334EB">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14:paraId="70EA9EB6">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项目产出类指标由4个二级指标和6个三级指标构成，权重分30分，实际得分30分。1.项目完成数量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“名班主任工作室数量”指标，预期指标值为1个，实际完成为1个。实际完成率=（1/1）×100%=100%。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综上，该项指标满分10分，得分10分。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2.项目完成质量“专项行动经费保障率”指标，预期指标值为100%，实际完成为100%。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3.项目完成时效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“资金拨付及时性”指标，预期指标值为100%，实际完成为100%。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实际完成率=（100/100）×100%=100%。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4.项目完成成本</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“预算支出控制率”指标，预期指标值为100%，实际完成为100%。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实际完成率=（100/100）×100%=100%。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综上，该项指标满分8分，得分8分。</w:t>
      </w:r>
    </w:p>
    <w:p w14:paraId="7B041286">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14:paraId="349F8328">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项目效益类指标由2个二级指标和2个三级指标构成，权重分30分，实际得分30分。1.社会效益指标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“提高学科教育质量”指标，预期指标值为&gt;=95%，实际完成为达到预期指标。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通过项目的实施，使幼儿园教师专业水平得到进一步提升，工作室成员专业技能得到进一步提高，为引领学科、提高学科教育质量发挥了重要作用。</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综上，该项指标满分20分，得分20分。</w:t>
      </w:r>
    </w:p>
    <w:p w14:paraId="4111EEEF">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“师生满意度”指标，预期指标值为学生满意度大于等于95%，实际完成为学生满意度99%。</w:t>
      </w:r>
    </w:p>
    <w:p w14:paraId="45B96DA2">
      <w:pPr>
        <w:spacing w:line="540" w:lineRule="exact"/>
        <w:ind w:firstLine="567"/>
        <w:rPr>
          <w:rStyle w:val="18"/>
          <w:rFonts w:hint="eastAsia" w:ascii="楷体" w:hAnsi="楷体" w:eastAsia="楷体"/>
          <w:b w:val="0"/>
          <w:bCs w:val="0"/>
          <w:spacing w:val="-4"/>
          <w:sz w:val="32"/>
          <w:szCs w:val="32"/>
        </w:rPr>
      </w:pPr>
    </w:p>
    <w:p w14:paraId="2ADA07CA">
      <w:pPr>
        <w:spacing w:line="540" w:lineRule="exact"/>
        <w:ind w:firstLine="567"/>
        <w:rPr>
          <w:rStyle w:val="18"/>
          <w:rFonts w:ascii="楷体" w:hAnsi="楷体" w:eastAsia="楷体"/>
          <w:spacing w:val="-4"/>
          <w:sz w:val="32"/>
          <w:szCs w:val="32"/>
        </w:rPr>
      </w:pPr>
    </w:p>
    <w:p w14:paraId="27523F3F">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主要经验及做法、存在的问题及原因分析</w:t>
      </w:r>
    </w:p>
    <w:p w14:paraId="23D87BE4">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昌吉州关于拨付2023-2024年自治州中小学名校长、名师、名班主任工作室建设经费经费”项目2024年预算数为2万元，截至2024年12月31日共支出2万元，预算执行率为100%。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玛纳斯县玛纳斯镇中心幼儿园健全了预算管理规章制度，各部门严格按预算编制的原则和要求做好当年预算编制工作，在预算绩效管理工作中，做到合理安排各项资金，重点保障基本支出，按轻重缓急顺序原则，优先安排了玛纳斯县玛纳斯镇中心幼儿园事业发展中关系民生与稳定的项目，切实优化资源配置，提高了资金使用的效率和效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（二）存在的问题及原因分析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1.项目实施应当简化流程，优化申请、审核流程，减少不必要证 明材料，提高办理效果。定期回访工作室成员及学生，了解工作室活动开展及专业技能提高状况，通过成绩分析、满意度调查评估项目成就，依据评估结果总结经验，调整优化项目方案，提升项目管理水平和帮扶效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2.绩效档案归档工作有待提高</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是对档案工作重视程度不高，意识淡薄。单位人员对绩效档案管理工作重视程度不够，不注重关键时间节点材料的鉴定归档，造成绩效管理工作档案缺失。二是单位人员对档案管理工作缺少针对性和目的性，对绩效档案工作重要性的认识不足，缺乏熟练的业务知识，使绩效档案管理与实际业务存在一定偏差，未发挥其综合价值。</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    3.项目支出绩效评价存在局限，客观性有待加强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    项目支出绩效评价工作还存在自我审定的局限性，项目支出绩效工作有较大弹性，评价报告多局限于描述项目实施情况，对问题避重就轻，对项目的打分松紧不一，会影响评价质量，在客观性和公正性上说服力不强。</w:t>
      </w:r>
    </w:p>
    <w:p w14:paraId="5FCAA3CA">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六</w:t>
      </w:r>
      <w:r>
        <w:rPr>
          <w:rStyle w:val="18"/>
          <w:rFonts w:hint="eastAsia" w:ascii="黑体" w:hAnsi="黑体" w:eastAsia="黑体"/>
          <w:b w:val="0"/>
          <w:spacing w:val="-4"/>
          <w:sz w:val="32"/>
          <w:szCs w:val="32"/>
        </w:rPr>
        <w:t>、有关建议</w:t>
      </w:r>
    </w:p>
    <w:p w14:paraId="05DFA017">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1.加强培训，提高相关人员工作水平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采取多种培训形式对单位财务人员、业务科室人员进行集中培训，进一步树牢绩效观念，提高本单位工作人员的绩效管理能力和工作水平，为预算绩效管理相关工作的顺利开展提供保障。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    2.扎实推进档案规范化建设，提升档案管理水平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是进一步完善项目评价资料。项目启动时同步做好档案的归纳与整理，及时整理、收集、汇总，健全档案资料。二是严格落实自治区关于绩效管理工作档案资料归档的相关要求，强化收集力度，确保归档资料的完整齐全。</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    3. 高度重视，加强领导</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高度重视，加强领导，精心组织。项目绩效领导小组对绩效评价工作进行指导、监督、检查，确保项目绩效评价反映项目完成真实情况。严格执行项目绩效评价工作要求，切实提高项目绩效报告的客观性和公正性。</w:t>
      </w:r>
    </w:p>
    <w:p w14:paraId="1C61C58F">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、其他需要说明的问题</w:t>
      </w:r>
    </w:p>
    <w:p w14:paraId="2776CF9E">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无其他需要说明的问题</w:t>
      </w:r>
    </w:p>
    <w:p w14:paraId="620D97C2">
      <w:pPr>
        <w:spacing w:line="540" w:lineRule="exact"/>
        <w:ind w:firstLine="567"/>
        <w:rPr>
          <w:rStyle w:val="18"/>
          <w:rFonts w:ascii="仿宋" w:hAnsi="仿宋" w:eastAsia="仿宋"/>
          <w:b w:val="0"/>
          <w:spacing w:val="-4"/>
          <w:sz w:val="32"/>
          <w:szCs w:val="32"/>
        </w:rPr>
      </w:pPr>
    </w:p>
    <w:p w14:paraId="313D5EEA">
      <w:pPr>
        <w:spacing w:line="540" w:lineRule="exact"/>
        <w:ind w:firstLine="567"/>
        <w:rPr>
          <w:rStyle w:val="18"/>
          <w:rFonts w:ascii="仿宋" w:hAnsi="仿宋" w:eastAsia="仿宋"/>
          <w:b w:val="0"/>
          <w:spacing w:val="-4"/>
          <w:sz w:val="32"/>
          <w:szCs w:val="32"/>
        </w:rPr>
      </w:pPr>
    </w:p>
    <w:p w14:paraId="2EB5C7C9">
      <w:pPr>
        <w:spacing w:line="540" w:lineRule="exact"/>
        <w:ind w:firstLine="567"/>
        <w:rPr>
          <w:rStyle w:val="18"/>
          <w:rFonts w:ascii="仿宋" w:hAnsi="仿宋" w:eastAsia="仿宋"/>
          <w:b w:val="0"/>
          <w:spacing w:val="-4"/>
          <w:sz w:val="32"/>
          <w:szCs w:val="32"/>
        </w:rPr>
      </w:pPr>
    </w:p>
    <w:p w14:paraId="5974385D">
      <w:pPr>
        <w:spacing w:line="540" w:lineRule="exact"/>
        <w:ind w:firstLine="567"/>
        <w:rPr>
          <w:rStyle w:val="18"/>
          <w:rFonts w:ascii="仿宋" w:hAnsi="仿宋" w:eastAsia="仿宋"/>
          <w:b w:val="0"/>
          <w:spacing w:val="-4"/>
          <w:sz w:val="32"/>
          <w:szCs w:val="32"/>
        </w:rPr>
      </w:pPr>
    </w:p>
    <w:p w14:paraId="4EC98F74">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3000509000000000000"/>
    <w:charset w:val="86"/>
    <w:family w:val="script"/>
    <w:pitch w:val="default"/>
    <w:sig w:usb0="00000000" w:usb1="00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3BA6248E">
        <w:pPr>
          <w:pStyle w:val="12"/>
          <w:jc w:val="center"/>
        </w:pPr>
        <w:r>
          <w:fldChar w:fldCharType="begin"/>
        </w:r>
        <w:r>
          <w:instrText xml:space="preserve">PAGE   \* MERGEFORMAT</w:instrText>
        </w:r>
        <w:r>
          <w:fldChar w:fldCharType="separate"/>
        </w:r>
        <w:r>
          <w:rPr>
            <w:lang w:val="zh-CN"/>
          </w:rPr>
          <w:t>2</w:t>
        </w:r>
        <w:r>
          <w:fldChar w:fldCharType="end"/>
        </w:r>
      </w:p>
    </w:sdtContent>
  </w:sdt>
  <w:p w14:paraId="15F61E33">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9"/>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0F58071E"/>
    <w:rsid w:val="11BD75F7"/>
    <w:rsid w:val="13BE561A"/>
    <w:rsid w:val="15392994"/>
    <w:rsid w:val="18FE139B"/>
    <w:rsid w:val="25D24111"/>
    <w:rsid w:val="3029612C"/>
    <w:rsid w:val="32A221C5"/>
    <w:rsid w:val="33F20F2A"/>
    <w:rsid w:val="34C44675"/>
    <w:rsid w:val="3A132219"/>
    <w:rsid w:val="3B5B5607"/>
    <w:rsid w:val="3CE21B3C"/>
    <w:rsid w:val="46AD611F"/>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qFormat/>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qFormat/>
    <w:uiPriority w:val="10"/>
    <w:rPr>
      <w:rFonts w:asciiTheme="majorHAnsi" w:hAnsiTheme="majorHAnsi" w:eastAsiaTheme="majorEastAsia"/>
      <w:b/>
      <w:bCs/>
      <w:kern w:val="28"/>
      <w:sz w:val="32"/>
      <w:szCs w:val="32"/>
    </w:rPr>
  </w:style>
  <w:style w:type="character" w:customStyle="1" w:styleId="30">
    <w:name w:val="副标题 Char"/>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qFormat/>
    <w:uiPriority w:val="99"/>
    <w:rPr>
      <w:rFonts w:ascii="Calibri" w:hAnsi="Calibri" w:eastAsia="宋体"/>
      <w:kern w:val="2"/>
      <w:sz w:val="18"/>
      <w:szCs w:val="18"/>
    </w:rPr>
  </w:style>
  <w:style w:type="character" w:customStyle="1" w:styleId="44">
    <w:name w:val="页脚 Char"/>
    <w:basedOn w:val="17"/>
    <w:link w:val="12"/>
    <w:qFormat/>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21</Pages>
  <Words>6378</Words>
  <Characters>6738</Characters>
  <Lines>4</Lines>
  <Paragraphs>1</Paragraphs>
  <TotalTime>0</TotalTime>
  <ScaleCrop>false</ScaleCrop>
  <LinksUpToDate>false</LinksUpToDate>
  <CharactersWithSpaces>6784</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承欢</cp:lastModifiedBy>
  <cp:lastPrinted>2018-12-31T10:56:00Z</cp:lastPrinted>
  <dcterms:modified xsi:type="dcterms:W3CDTF">2025-08-11T11:42:10Z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86A4BE803B594D54BB30BEB283D7FDDD_13</vt:lpwstr>
  </property>
  <property fmtid="{D5CDD505-2E9C-101B-9397-08002B2CF9AE}" pid="4" name="KSOTemplateDocerSaveRecord">
    <vt:lpwstr>eyJoZGlkIjoiZWMxN2RhYjVjYjZkODRlMzVlMjI0ZTBkYzlmZjY2MmYiLCJ1c2VySWQiOiIzODQyNzM1MjgifQ==</vt:lpwstr>
  </property>
</Properties>
</file>