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C6F9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3C686EA">
      <w:pPr>
        <w:spacing w:line="540" w:lineRule="exact"/>
        <w:jc w:val="center"/>
        <w:rPr>
          <w:rFonts w:ascii="华文中宋" w:hAnsi="华文中宋" w:eastAsia="华文中宋" w:cs="宋体"/>
          <w:b/>
          <w:kern w:val="0"/>
          <w:sz w:val="52"/>
          <w:szCs w:val="52"/>
        </w:rPr>
      </w:pPr>
    </w:p>
    <w:p w14:paraId="37F9C0C9">
      <w:pPr>
        <w:spacing w:line="540" w:lineRule="exact"/>
        <w:jc w:val="center"/>
        <w:rPr>
          <w:rFonts w:ascii="华文中宋" w:hAnsi="华文中宋" w:eastAsia="华文中宋" w:cs="宋体"/>
          <w:b/>
          <w:kern w:val="0"/>
          <w:sz w:val="52"/>
          <w:szCs w:val="52"/>
        </w:rPr>
      </w:pPr>
    </w:p>
    <w:p w14:paraId="3392587C">
      <w:pPr>
        <w:spacing w:line="540" w:lineRule="exact"/>
        <w:jc w:val="center"/>
        <w:rPr>
          <w:rFonts w:ascii="华文中宋" w:hAnsi="华文中宋" w:eastAsia="华文中宋" w:cs="宋体"/>
          <w:b/>
          <w:kern w:val="0"/>
          <w:sz w:val="52"/>
          <w:szCs w:val="52"/>
        </w:rPr>
      </w:pPr>
    </w:p>
    <w:p w14:paraId="1D7EFAC6">
      <w:pPr>
        <w:spacing w:line="540" w:lineRule="exact"/>
        <w:jc w:val="center"/>
        <w:rPr>
          <w:rFonts w:ascii="华文中宋" w:hAnsi="华文中宋" w:eastAsia="华文中宋" w:cs="宋体"/>
          <w:b/>
          <w:kern w:val="0"/>
          <w:sz w:val="52"/>
          <w:szCs w:val="52"/>
        </w:rPr>
      </w:pPr>
    </w:p>
    <w:p w14:paraId="658DC711">
      <w:pPr>
        <w:spacing w:line="540" w:lineRule="exact"/>
        <w:jc w:val="center"/>
        <w:rPr>
          <w:rFonts w:ascii="华文中宋" w:hAnsi="华文中宋" w:eastAsia="华文中宋" w:cs="宋体"/>
          <w:b/>
          <w:kern w:val="0"/>
          <w:sz w:val="52"/>
          <w:szCs w:val="52"/>
        </w:rPr>
      </w:pPr>
    </w:p>
    <w:p w14:paraId="0DEB91C7">
      <w:pPr>
        <w:spacing w:line="540" w:lineRule="exact"/>
        <w:jc w:val="center"/>
        <w:rPr>
          <w:rFonts w:ascii="华文中宋" w:hAnsi="华文中宋" w:eastAsia="华文中宋" w:cs="宋体"/>
          <w:b/>
          <w:kern w:val="0"/>
          <w:sz w:val="52"/>
          <w:szCs w:val="52"/>
        </w:rPr>
      </w:pPr>
    </w:p>
    <w:p w14:paraId="4206E54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390231D">
      <w:pPr>
        <w:spacing w:line="540" w:lineRule="exact"/>
        <w:jc w:val="center"/>
        <w:rPr>
          <w:rFonts w:ascii="华文中宋" w:hAnsi="华文中宋" w:eastAsia="华文中宋" w:cs="宋体"/>
          <w:b/>
          <w:kern w:val="0"/>
          <w:sz w:val="52"/>
          <w:szCs w:val="52"/>
        </w:rPr>
      </w:pPr>
    </w:p>
    <w:p w14:paraId="0F8B2E6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1DF542C">
      <w:pPr>
        <w:spacing w:line="540" w:lineRule="exact"/>
        <w:jc w:val="center"/>
        <w:rPr>
          <w:rFonts w:hAnsi="宋体" w:eastAsia="仿宋_GB2312" w:cs="宋体"/>
          <w:kern w:val="0"/>
          <w:sz w:val="30"/>
          <w:szCs w:val="30"/>
        </w:rPr>
      </w:pPr>
    </w:p>
    <w:p w14:paraId="2BCA765D">
      <w:pPr>
        <w:spacing w:line="540" w:lineRule="exact"/>
        <w:jc w:val="center"/>
        <w:rPr>
          <w:rFonts w:hAnsi="宋体" w:eastAsia="仿宋_GB2312" w:cs="宋体"/>
          <w:kern w:val="0"/>
          <w:sz w:val="30"/>
          <w:szCs w:val="30"/>
        </w:rPr>
      </w:pPr>
    </w:p>
    <w:p w14:paraId="5AF1C7BC">
      <w:pPr>
        <w:spacing w:line="540" w:lineRule="exact"/>
        <w:jc w:val="center"/>
        <w:rPr>
          <w:rFonts w:hAnsi="宋体" w:eastAsia="仿宋_GB2312" w:cs="宋体"/>
          <w:kern w:val="0"/>
          <w:sz w:val="30"/>
          <w:szCs w:val="30"/>
        </w:rPr>
      </w:pPr>
    </w:p>
    <w:p w14:paraId="21121FDB">
      <w:pPr>
        <w:spacing w:line="540" w:lineRule="exact"/>
        <w:jc w:val="center"/>
        <w:rPr>
          <w:rFonts w:hAnsi="宋体" w:eastAsia="仿宋_GB2312" w:cs="宋体"/>
          <w:kern w:val="0"/>
          <w:sz w:val="30"/>
          <w:szCs w:val="30"/>
        </w:rPr>
      </w:pPr>
    </w:p>
    <w:p w14:paraId="4CF00194">
      <w:pPr>
        <w:spacing w:line="540" w:lineRule="exact"/>
        <w:jc w:val="center"/>
        <w:rPr>
          <w:rFonts w:hAnsi="宋体" w:eastAsia="仿宋_GB2312" w:cs="宋体"/>
          <w:kern w:val="0"/>
          <w:sz w:val="30"/>
          <w:szCs w:val="30"/>
        </w:rPr>
      </w:pPr>
    </w:p>
    <w:p w14:paraId="4507A239">
      <w:pPr>
        <w:spacing w:line="540" w:lineRule="exact"/>
        <w:jc w:val="center"/>
        <w:rPr>
          <w:rFonts w:hAnsi="宋体" w:eastAsia="仿宋_GB2312" w:cs="宋体"/>
          <w:kern w:val="0"/>
          <w:sz w:val="30"/>
          <w:szCs w:val="30"/>
        </w:rPr>
      </w:pPr>
    </w:p>
    <w:p w14:paraId="5245736E">
      <w:pPr>
        <w:spacing w:line="540" w:lineRule="exact"/>
        <w:rPr>
          <w:rFonts w:hAnsi="宋体" w:eastAsia="仿宋_GB2312" w:cs="宋体"/>
          <w:kern w:val="0"/>
          <w:sz w:val="30"/>
          <w:szCs w:val="30"/>
        </w:rPr>
      </w:pPr>
    </w:p>
    <w:p w14:paraId="1A3638A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EDA7F0">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玛纳斯县青少年活动中心</w:t>
      </w:r>
      <w:r>
        <w:rPr>
          <w:rStyle w:val="18"/>
          <w:rFonts w:hint="eastAsia" w:ascii="楷体" w:hAnsi="楷体" w:eastAsia="楷体"/>
          <w:spacing w:val="-4"/>
          <w:sz w:val="32"/>
          <w:szCs w:val="32"/>
          <w:lang w:val="en-US" w:eastAsia="zh-CN"/>
        </w:rPr>
        <w:t>-</w:t>
      </w:r>
      <w:r>
        <w:rPr>
          <w:rStyle w:val="18"/>
          <w:rFonts w:hint="eastAsia" w:ascii="楷体" w:hAnsi="楷体" w:eastAsia="楷体"/>
          <w:spacing w:val="-4"/>
          <w:sz w:val="32"/>
          <w:szCs w:val="32"/>
        </w:rPr>
        <w:t>2023年自治区财政专项彩票公益金资助各地州市重点社会公益项目</w:t>
      </w:r>
    </w:p>
    <w:p w14:paraId="0DF0586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玛纳斯县青少年活动中</w:t>
      </w:r>
      <w:bookmarkStart w:id="0" w:name="_GoBack"/>
      <w:bookmarkEnd w:id="0"/>
      <w:r>
        <w:rPr>
          <w:rStyle w:val="18"/>
          <w:rFonts w:hint="eastAsia" w:ascii="楷体" w:hAnsi="楷体" w:eastAsia="楷体"/>
          <w:spacing w:val="-4"/>
          <w:sz w:val="28"/>
          <w:szCs w:val="28"/>
        </w:rPr>
        <w:t>心</w:t>
      </w:r>
    </w:p>
    <w:p w14:paraId="2D4BBB0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玛纳斯县青少年活动中心</w:t>
      </w:r>
    </w:p>
    <w:p w14:paraId="130D29E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周萍</w:t>
      </w:r>
    </w:p>
    <w:p w14:paraId="1591B72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2025年03月07日</w:t>
      </w:r>
    </w:p>
    <w:p w14:paraId="0EC01E75">
      <w:pPr>
        <w:spacing w:line="700" w:lineRule="exact"/>
        <w:ind w:firstLine="708" w:firstLineChars="236"/>
        <w:jc w:val="left"/>
        <w:rPr>
          <w:rFonts w:hAnsi="宋体" w:eastAsia="仿宋_GB2312" w:cs="宋体"/>
          <w:kern w:val="0"/>
          <w:sz w:val="30"/>
          <w:szCs w:val="30"/>
        </w:rPr>
      </w:pPr>
    </w:p>
    <w:p w14:paraId="356369B7">
      <w:pPr>
        <w:spacing w:line="540" w:lineRule="exact"/>
        <w:rPr>
          <w:rStyle w:val="18"/>
          <w:rFonts w:ascii="黑体" w:hAnsi="黑体" w:eastAsia="黑体"/>
          <w:b w:val="0"/>
          <w:spacing w:val="-4"/>
          <w:sz w:val="32"/>
          <w:szCs w:val="32"/>
        </w:rPr>
      </w:pPr>
    </w:p>
    <w:p w14:paraId="595AB19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B0A323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0E558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财综[2022]60号2023年自治区财政专项彩票公益金资助各地州市重点社会公益项目文件要求，玛纳斯青少年活动中心前期无校外教育培训所需的活动场所，2017年县委县人民政府计划争取福建援疆资金修建6500平米新场馆于青少年校外活动场所专用，目前场馆已建成交工，青少年活动中心于2022年申报的300万元中央彩票金“新建场所打造与设备购置”项目实施已近尾声，根据前期对新建场所1——4楼所做的精细规划，通过在政采云平台进行询价、前往东三县对各地场馆进行实地考察后，进一步完善规划，最终将设备购置项目做了四包的规划，并委托新疆沃图恒辉建设工程项目管理有限公司为青少年活动中心新建场所打造与设备购置的招标代理机构，通过竞争性磋商的招标方式，顺利完成四包的招标代理工作。其中第一包：中标单位为新疆智慧物联智能有限公司，以475000元的中标价负责项目的LED字幕屏、LED背景墙等的制作；第二包：中标单位为乌鲁木齐宏宇昌达商贸有限公司，以146410元的中标价负责购置灯光、音响设备等；第三包：中标单位为乌鲁木齐趋势商贸有限公司，以288000元的中标价负责购置新建场所的科技教育设备等；第四包：中标单位为新疆优盛源教育科技有限公司，以221600元的中标价购置新建场所的武术器材等设备。同时委托玛纳斯县政务服务中心为招标代理机构，通过竞争性磋商对青少年活动中心场所打造项目进行采购，确定夏杰房屋修缮装修队、新疆俊龙市政工程有限公司分别为新场所打造项目（装修、装饰）施工单位。并通过市场询价，由新疆德善工程项目管理有限公司和嘉翔项目管理有限公司对新场所打造项目进行审计，截至目前，青少年活动中心新建场所打造与设备购置项目工程已经如期完工，300万元中央彩票金也已通过政府的监督管理按照规范的流程合理使用完。装修后的场馆为青少年提供了安全舒适的学习环境，有效提高了青少年参与校外培训的积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实施达到了改善教学环境，完善教学设备，有效促进校外教育发展的效益。本项目于2023年1月开始实施，截止2023年12月已全部完成，通过本项目的实施，为青少年提供了安全舒适的学习环境，有效提高了青少年参与校外培训的积极性。青少年活动中心于2022年申报的300万元中央彩票金“新建场所打造与设备购置”项目实施已近尾声，根据前期对新建场所1——4楼所做的精细规划，通过在政采云平台进行询价、前往东三县对各地场馆进行实地考察后，进一步完善规划，最终将设备购置项目做了四包的规划，并委托新疆沃图恒辉建设工程项目管理有限公司为青少年活动中心新建场所打造与设备购置的招标代理机构，通过竞争性磋商的招标方式，顺利完成四包的招标代理工作。其中第一包：中标单位为新疆智慧物联智能有限公司，以475000元的中标价负责项目的LED字幕屏、LED背景墙等的制作；第二包：中标单位为乌鲁木齐宏宇昌达商贸有限公司，以146410元的中标价负责购置灯光、音响设备等；第三包：中标单位为乌鲁木齐趋势商贸有限公司，以288000元的中标价负责购置新建场所的科技教育设备等；第四包：中标单位为新疆优盛源教育科技有限公司，以221600元的中标价购置新建场所的武术器材等设备。同时委托玛纳斯县政务服务中心为招标代理机构，通过竞争性磋商对青少年活动中心场所打造项目进行采购，确定夏杰房屋修缮装修队、新疆俊龙市政工程有限公司分别为新场所打造项目（装修、装饰）施工单位。并通过市场询价，由新疆德善工程项目管理有限公司和嘉翔项目管理有限公司对新场所打造项目进行审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组织实施：2023年自治区财政专项彩票公益金资助各地州市重点社会公益项目的实施主体为玛纳斯县青少年活动中心，该单位纳入2023年部门决算编制范围的有1个科室，分别是：行政办公室。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编制人数为5人，其中：事业编制4人。实有在职人数4人，事业在职4人。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2023年自治区财政专项彩票公益金资助各地州市重点社会公益项目预算安排总额为300万元，其中财政资金300万元，其他资金0万元，2024年实际收到预算资金24.12万元，预算资金到位率为100%。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2023年自治区财政专项彩票公益金资助各地州市重点社会公益项目实际支付资金24.12万元，预算执行率100%。结转结余资金0万元，已上缴国库。项目资金主要用于新建场所打造与设备购置等方面。</w:t>
      </w:r>
    </w:p>
    <w:p w14:paraId="4B61878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016BB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绩效总体目标为：本项目拟投入24.12万元，主要实施内容为：1.室内场馆装修面积6500平方米，项目竣工验收合格率大于等于99%，资金及时拨付率达到100%，工程尾款金额小于等于24万元，本项目实施有效提高青少年科技素养、德育教育和实践能力，使学生满意率大于等于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“场馆装修面积”指标，预期指标值为=6500平方米；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“工程验收合格率”指标，预期指标值为&gt;=99%；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“工程尾款支付金额”指标，预期指标值为&lt;=24万元；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“提高青少年科技素养”指标，预期指标值为有效提高；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“学生满意率”指标，预期指标值为&gt;=90%。</w:t>
      </w:r>
    </w:p>
    <w:p w14:paraId="1A5A63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776215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CC161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此次我单位根据《财政支出绩效评价管理暂行办法》（财预〔2020〕10号）文件要求对2024年度我单位实施的2023年自治区财政专项彩票公益金资助各地州市重点社会公益项目开展部门绩效评价。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A23FC7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1D181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财政专项彩票公益金资助各地州市重点社会公益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财政专项彩票公益金资助各地州市重点社会公益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BAE7E2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F83E7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财政专项彩票公益金资助各地州市重点社会公益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3EB201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5A304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财政专项彩票公益金资助各地州市重点社会公益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表3-1：2023年自治区财政专项彩票公益金资助各地州市重点社会公益项目得分表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11CFE8D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0920D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194EBD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①项目立项根据新财综[2022]60号2023年自治区财政专项彩票公益金资助各地州市重点社会公益项目文件，符合国家法律法规、国民经济发展规划和相关政策；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38F8A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CA5AF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资金到位率=（24.12/24.12）×100%。=100%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预算执行率=（24.12/24.12）×100%。=100%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①已制定相应的玛纳斯县青少年活动中心财务管理制度和玛纳斯县青少年活动中心项目业务管理制度。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BFD3A1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48787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场馆装修面积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=6500平方米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=6500平方米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工程尾款支付金额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24.12万元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=24.12万元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“场馆装修面积”指标，预期指标值为=6500平方米，实际完成为=6500平方米。实际完成率=（6500/6500）×100%=100%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“工程验收合格率”指标，预期指标值为&gt;=99%，实际完成为&gt;=99%。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“工程尾款支付金额”指标，预期指标值为24.12万元，实际完成为24.12万元。实际完成率=（24.12万元/24.12万元）×100%=100%。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p>
    <w:p w14:paraId="25662B2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02132C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提高青少年科技素养</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“提高青少年科技素养”指标，预期指标值为有效提高，实际完成为有效提高。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通过项目的实施，有效提高青少年科技素养。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F3ABC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“学生满意率”指标，预期指标值为&gt;=90%，实际完成为&gt;=90%。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33AC9B0">
      <w:pPr>
        <w:spacing w:line="540" w:lineRule="exact"/>
        <w:ind w:firstLine="567"/>
        <w:rPr>
          <w:rStyle w:val="18"/>
          <w:rFonts w:hint="eastAsia" w:ascii="楷体" w:hAnsi="楷体" w:eastAsia="楷体"/>
          <w:b w:val="0"/>
          <w:bCs w:val="0"/>
          <w:spacing w:val="-4"/>
          <w:sz w:val="32"/>
          <w:szCs w:val="32"/>
        </w:rPr>
      </w:pPr>
    </w:p>
    <w:p w14:paraId="7F98E9DA">
      <w:pPr>
        <w:spacing w:line="540" w:lineRule="exact"/>
        <w:ind w:firstLine="567"/>
        <w:rPr>
          <w:rStyle w:val="18"/>
          <w:rFonts w:ascii="楷体" w:hAnsi="楷体" w:eastAsia="楷体"/>
          <w:spacing w:val="-4"/>
          <w:sz w:val="32"/>
          <w:szCs w:val="32"/>
        </w:rPr>
      </w:pPr>
    </w:p>
    <w:p w14:paraId="7A9756F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F6F5E8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2023年自治区财政专项彩票公益金资助各地州市重点社会公益项目2024年预算数为24.12万元，截至2024年12月31日共支出24.12万元，预算执行率为100%。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青少年活动中心建立健全了预算管理规章制度，各部门严格按预算编制的原则和要求做好当年预算编制工作，在预算绩效管理工作中，做到合理安排各项资金，重点保障基本支出，按轻重缓急顺序原则，优先安排了玛纳斯县青少年活动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660D5C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08456D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455138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8A1747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6DC864B3">
      <w:pPr>
        <w:spacing w:line="540" w:lineRule="exact"/>
        <w:ind w:firstLine="567"/>
        <w:rPr>
          <w:rStyle w:val="18"/>
          <w:rFonts w:ascii="仿宋" w:hAnsi="仿宋" w:eastAsia="仿宋"/>
          <w:b w:val="0"/>
          <w:spacing w:val="-4"/>
          <w:sz w:val="32"/>
          <w:szCs w:val="32"/>
        </w:rPr>
      </w:pPr>
    </w:p>
    <w:p w14:paraId="2BC3A2C3">
      <w:pPr>
        <w:spacing w:line="540" w:lineRule="exact"/>
        <w:ind w:firstLine="567"/>
        <w:rPr>
          <w:rStyle w:val="18"/>
          <w:rFonts w:ascii="仿宋" w:hAnsi="仿宋" w:eastAsia="仿宋"/>
          <w:b w:val="0"/>
          <w:spacing w:val="-4"/>
          <w:sz w:val="32"/>
          <w:szCs w:val="32"/>
        </w:rPr>
      </w:pPr>
    </w:p>
    <w:p w14:paraId="70BEC828">
      <w:pPr>
        <w:spacing w:line="540" w:lineRule="exact"/>
        <w:ind w:firstLine="567"/>
        <w:rPr>
          <w:rStyle w:val="18"/>
          <w:rFonts w:ascii="仿宋" w:hAnsi="仿宋" w:eastAsia="仿宋"/>
          <w:b w:val="0"/>
          <w:spacing w:val="-4"/>
          <w:sz w:val="32"/>
          <w:szCs w:val="32"/>
        </w:rPr>
      </w:pPr>
    </w:p>
    <w:p w14:paraId="730ADD3D">
      <w:pPr>
        <w:spacing w:line="540" w:lineRule="exact"/>
        <w:ind w:firstLine="567"/>
        <w:rPr>
          <w:rStyle w:val="18"/>
          <w:rFonts w:ascii="仿宋" w:hAnsi="仿宋" w:eastAsia="仿宋"/>
          <w:b w:val="0"/>
          <w:spacing w:val="-4"/>
          <w:sz w:val="32"/>
          <w:szCs w:val="32"/>
        </w:rPr>
      </w:pPr>
    </w:p>
    <w:p w14:paraId="30981A5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EB7CB0">
        <w:pPr>
          <w:pStyle w:val="12"/>
          <w:jc w:val="center"/>
        </w:pPr>
        <w:r>
          <w:fldChar w:fldCharType="begin"/>
        </w:r>
        <w:r>
          <w:instrText xml:space="preserve">PAGE   \* MERGEFORMAT</w:instrText>
        </w:r>
        <w:r>
          <w:fldChar w:fldCharType="separate"/>
        </w:r>
        <w:r>
          <w:rPr>
            <w:lang w:val="zh-CN"/>
          </w:rPr>
          <w:t>2</w:t>
        </w:r>
        <w:r>
          <w:fldChar w:fldCharType="end"/>
        </w:r>
      </w:p>
    </w:sdtContent>
  </w:sdt>
  <w:p w14:paraId="47CC64C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62E7521"/>
    <w:rsid w:val="3B5B5607"/>
    <w:rsid w:val="3CE21B3C"/>
    <w:rsid w:val="46AD611F"/>
    <w:rsid w:val="4D2606A1"/>
    <w:rsid w:val="51830480"/>
    <w:rsid w:val="53A616BE"/>
    <w:rsid w:val="54662BFB"/>
    <w:rsid w:val="56D14492"/>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9778</Words>
  <Characters>10301</Characters>
  <Lines>4</Lines>
  <Paragraphs>1</Paragraphs>
  <TotalTime>8</TotalTime>
  <ScaleCrop>false</ScaleCrop>
  <LinksUpToDate>false</LinksUpToDate>
  <CharactersWithSpaces>10548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2025-08-11T11:52:34Z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