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B7D4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63752E4">
      <w:pPr>
        <w:spacing w:line="540" w:lineRule="exact"/>
        <w:jc w:val="center"/>
        <w:rPr>
          <w:rFonts w:ascii="华文中宋" w:hAnsi="华文中宋" w:eastAsia="华文中宋" w:cs="宋体"/>
          <w:b/>
          <w:kern w:val="0"/>
          <w:sz w:val="52"/>
          <w:szCs w:val="52"/>
        </w:rPr>
      </w:pPr>
    </w:p>
    <w:p w14:paraId="5A0EED7C">
      <w:pPr>
        <w:spacing w:line="540" w:lineRule="exact"/>
        <w:jc w:val="center"/>
        <w:rPr>
          <w:rFonts w:ascii="华文中宋" w:hAnsi="华文中宋" w:eastAsia="华文中宋" w:cs="宋体"/>
          <w:b/>
          <w:kern w:val="0"/>
          <w:sz w:val="52"/>
          <w:szCs w:val="52"/>
        </w:rPr>
      </w:pPr>
    </w:p>
    <w:p w14:paraId="7B229AF1">
      <w:pPr>
        <w:spacing w:line="540" w:lineRule="exact"/>
        <w:jc w:val="center"/>
        <w:rPr>
          <w:rFonts w:ascii="华文中宋" w:hAnsi="华文中宋" w:eastAsia="华文中宋" w:cs="宋体"/>
          <w:b/>
          <w:kern w:val="0"/>
          <w:sz w:val="52"/>
          <w:szCs w:val="52"/>
        </w:rPr>
      </w:pPr>
    </w:p>
    <w:p w14:paraId="009875EF">
      <w:pPr>
        <w:spacing w:line="540" w:lineRule="exact"/>
        <w:jc w:val="center"/>
        <w:rPr>
          <w:rFonts w:ascii="华文中宋" w:hAnsi="华文中宋" w:eastAsia="华文中宋" w:cs="宋体"/>
          <w:b/>
          <w:kern w:val="0"/>
          <w:sz w:val="52"/>
          <w:szCs w:val="52"/>
        </w:rPr>
      </w:pPr>
    </w:p>
    <w:p w14:paraId="1188A9B8">
      <w:pPr>
        <w:spacing w:line="540" w:lineRule="exact"/>
        <w:jc w:val="center"/>
        <w:rPr>
          <w:rFonts w:ascii="华文中宋" w:hAnsi="华文中宋" w:eastAsia="华文中宋" w:cs="宋体"/>
          <w:b/>
          <w:kern w:val="0"/>
          <w:sz w:val="52"/>
          <w:szCs w:val="52"/>
        </w:rPr>
      </w:pPr>
    </w:p>
    <w:p w14:paraId="70A2D9E9">
      <w:pPr>
        <w:spacing w:line="540" w:lineRule="exact"/>
        <w:jc w:val="center"/>
        <w:rPr>
          <w:rFonts w:ascii="华文中宋" w:hAnsi="华文中宋" w:eastAsia="华文中宋" w:cs="宋体"/>
          <w:b/>
          <w:kern w:val="0"/>
          <w:sz w:val="52"/>
          <w:szCs w:val="52"/>
        </w:rPr>
      </w:pPr>
    </w:p>
    <w:p w14:paraId="1BAACCB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8F83E07">
      <w:pPr>
        <w:spacing w:line="540" w:lineRule="exact"/>
        <w:jc w:val="center"/>
        <w:rPr>
          <w:rFonts w:ascii="华文中宋" w:hAnsi="华文中宋" w:eastAsia="华文中宋" w:cs="宋体"/>
          <w:b/>
          <w:kern w:val="0"/>
          <w:sz w:val="52"/>
          <w:szCs w:val="52"/>
        </w:rPr>
      </w:pPr>
    </w:p>
    <w:p w14:paraId="1CBEC15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EBA4BFA">
      <w:pPr>
        <w:spacing w:line="540" w:lineRule="exact"/>
        <w:jc w:val="center"/>
        <w:rPr>
          <w:rFonts w:hAnsi="宋体" w:eastAsia="仿宋_GB2312" w:cs="宋体"/>
          <w:kern w:val="0"/>
          <w:sz w:val="30"/>
          <w:szCs w:val="30"/>
        </w:rPr>
      </w:pPr>
    </w:p>
    <w:p w14:paraId="2B5C42B0">
      <w:pPr>
        <w:spacing w:line="540" w:lineRule="exact"/>
        <w:jc w:val="center"/>
        <w:rPr>
          <w:rFonts w:hAnsi="宋体" w:eastAsia="仿宋_GB2312" w:cs="宋体"/>
          <w:kern w:val="0"/>
          <w:sz w:val="30"/>
          <w:szCs w:val="30"/>
        </w:rPr>
      </w:pPr>
    </w:p>
    <w:p w14:paraId="02ED692B">
      <w:pPr>
        <w:spacing w:line="540" w:lineRule="exact"/>
        <w:jc w:val="center"/>
        <w:rPr>
          <w:rFonts w:hAnsi="宋体" w:eastAsia="仿宋_GB2312" w:cs="宋体"/>
          <w:kern w:val="0"/>
          <w:sz w:val="30"/>
          <w:szCs w:val="30"/>
        </w:rPr>
      </w:pPr>
    </w:p>
    <w:p w14:paraId="222C6B8B">
      <w:pPr>
        <w:spacing w:line="540" w:lineRule="exact"/>
        <w:jc w:val="center"/>
        <w:rPr>
          <w:rFonts w:hAnsi="宋体" w:eastAsia="仿宋_GB2312" w:cs="宋体"/>
          <w:kern w:val="0"/>
          <w:sz w:val="30"/>
          <w:szCs w:val="30"/>
        </w:rPr>
      </w:pPr>
    </w:p>
    <w:p w14:paraId="338FAE84">
      <w:pPr>
        <w:spacing w:line="540" w:lineRule="exact"/>
        <w:jc w:val="center"/>
        <w:rPr>
          <w:rFonts w:hAnsi="宋体" w:eastAsia="仿宋_GB2312" w:cs="宋体"/>
          <w:kern w:val="0"/>
          <w:sz w:val="30"/>
          <w:szCs w:val="30"/>
        </w:rPr>
      </w:pPr>
    </w:p>
    <w:p w14:paraId="168CE9CA">
      <w:pPr>
        <w:spacing w:line="540" w:lineRule="exact"/>
        <w:jc w:val="center"/>
        <w:rPr>
          <w:rFonts w:hAnsi="宋体" w:eastAsia="仿宋_GB2312" w:cs="宋体"/>
          <w:kern w:val="0"/>
          <w:sz w:val="30"/>
          <w:szCs w:val="30"/>
        </w:rPr>
      </w:pPr>
    </w:p>
    <w:p w14:paraId="02A9B3C8">
      <w:pPr>
        <w:spacing w:line="540" w:lineRule="exact"/>
        <w:rPr>
          <w:rFonts w:hAnsi="宋体" w:eastAsia="仿宋_GB2312" w:cs="宋体"/>
          <w:kern w:val="0"/>
          <w:sz w:val="30"/>
          <w:szCs w:val="30"/>
        </w:rPr>
      </w:pPr>
    </w:p>
    <w:p w14:paraId="0A1EE0E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76DBD50">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玛纳斯县妇女联合会-自治区妇女儿童联合会下达2024年妇女儿童工作经费</w:t>
      </w:r>
    </w:p>
    <w:p w14:paraId="085F6706">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玛纳斯县妇女联合会</w:t>
      </w:r>
    </w:p>
    <w:p w14:paraId="0B15868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玛纳斯县妇女联合会</w:t>
      </w:r>
    </w:p>
    <w:p w14:paraId="6B93A2D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姜文玉</w:t>
      </w:r>
    </w:p>
    <w:p w14:paraId="1028296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14:paraId="6B7D52EA">
      <w:pPr>
        <w:spacing w:line="700" w:lineRule="exact"/>
        <w:ind w:firstLine="708" w:firstLineChars="236"/>
        <w:jc w:val="left"/>
        <w:rPr>
          <w:rFonts w:hAnsi="宋体" w:eastAsia="仿宋_GB2312" w:cs="宋体"/>
          <w:kern w:val="0"/>
          <w:sz w:val="30"/>
          <w:szCs w:val="30"/>
        </w:rPr>
      </w:pPr>
    </w:p>
    <w:p w14:paraId="6CC53D3B">
      <w:pPr>
        <w:spacing w:line="540" w:lineRule="exact"/>
        <w:rPr>
          <w:rStyle w:val="18"/>
          <w:rFonts w:ascii="黑体" w:hAnsi="黑体" w:eastAsia="黑体"/>
          <w:b w:val="0"/>
          <w:spacing w:val="-4"/>
          <w:sz w:val="32"/>
          <w:szCs w:val="32"/>
        </w:rPr>
      </w:pPr>
    </w:p>
    <w:p w14:paraId="74C256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B50794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AA9B6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微家”是妇联组织为了深化基层工作，实现联系妇女全覆盖、服务妇女零距离、关爱妇女无缝隙而推出的重要举措。它作为“妇女之家”的有效延伸和补充，旨在将妇联组织的服务和活动下沉到妇女群众生活的最小单元，满足妇女的多元化需求。这一项目的提出，是基于群团改革的要求，以及对基层妇女工作落地、落小、落实的迫切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主要内容：“妇女微家”是针对一定范围内的妇女开展微活动、提供微服务、满足微需求的微阵地，旨在宣传党的声音、密切联系妇女、 开展就业指导、提供法律维权服务、开展家庭文化建设、 推进公益志愿服务。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各地妇联组织结合当地实际，灵活设置“妇女微家”，把“妇女微家”建成基层妇联组织宣传党的路线方针政策的工作微阵地、传播科学文化的微课堂、开展文化活动的微舞台、化解矛盾纠纷的微驿站、组织志愿服务的微窗口，实现联系妇女群众“零距离”、服务妇女群众“无缝隙”、妇联组织和妇联工作“全覆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妇女儿童工作经费项目预算安排总额为0.5万元，其中财政资金0.5万元，其他资金0万元，2024年实际收到预算资金0.5万元，预算资金到位率为100%。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截止2024年12月31日，妇女儿童工作经费项目实际支付资金0.5万元，预算执行率100%。结转结余资金0万元，已上缴国库。项目资金主要用于建设2个妇女微家，购买电视、书柜等设施方面。</w:t>
      </w:r>
    </w:p>
    <w:p w14:paraId="5F195C6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00F8D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儿童工作经费项目绩效总体目标为：完成建设“妇女微家”2个，购买物品验收合格率；资金下达率达到100%，通过该项目的实施，提升了对妇女服务的水平，促进妇女群众团结在一起，引领妇女群众良好的精神风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“建设妇女微家”指标，预期指标值为≥2个；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“物品验收合格率”指标，预期指标值为=100%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“建设妇女微家单位成本”指标，预期指标值为≤0.25万元；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“提高对妇女的服务水平”指标，预期指标值为有效提高；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“引领妇女群众良好精神风貌”指标，预期指标值为良好引领；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14:paraId="3FACB4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21AD10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4469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此次我单位根据《财政支出绩效评价管理暂行办法》（财预〔2020〕10号）文件要求对2024年度我单位实施的妇女儿童工作经费项目开展部门绩效评价。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79CB55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E3D9E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妇女儿童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本次绩效评价采用的方法比较法、因素分析法、公众评判法对项目绩效目标预期指标值与实施情况进行比较，以及采取公众问卷及抽样调查等方式进行评判的方法对妇女儿童工作经费项目进行评价。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FDCE12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BF288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妇女儿童工作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CA2C8C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56F2C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妇女儿童工作经费项目绩效进行客观评价，最终评分结果：总分为100分，绩效评级为“优秀”。各部分权重和绩效汇总分值如下表3-1所示（详见上传的附件）：</w:t>
      </w:r>
    </w:p>
    <w:p w14:paraId="5671F22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E32FA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379544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①项目立项根据关于建设妇女微家的通知，符合国家法律法规、国民经济发展规划和相关政策；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B09415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66B980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资金到位率=（0.5/0.5）×100%=100%。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预算执行率=（0.5/0.5）×100%=100%。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①制定玛纳斯县妇联财务管理制度；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E96CCC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F1BDE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项目产出类指标由4个二级指标和4个三级指标构成，权重分30分，实际得分30分，各指标业绩值和绩效分值如表4-3所示（详见上传的附件）：1.项目完成数量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“建设妇女微家”指标，预期指标值为2个，实际完成为2个。实际完成率=（2/2）×100%=100%。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“物品验收合格率”指标，预期指标值为100%，实际完成为100%。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“建设妇女微家单位成本”指标，预期指标值为0.25万元，实际完成为0.25万元。实际完成率=（0.25/0.25）×100%=100%。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088C6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C46F15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项目产出类指标由2个二级指标和3个三级指标构成，权重分30分，实际得分30分，各指标业绩值和绩效分值如表4-4所示（详见上传的附件）：1.经济效益指标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无经济收益指标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“提高对妇女的服务水平”指标，预期指标值为有效提高，实际完成为有效提高。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“引领妇女群众良好精神风貌”指标，预期指标值为有效提高，实际完成为有效提高。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通过项目的实施，有效提升对妇女服务的水平，引领妇女群众良好的精神风貌。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无经济收益指标。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无经济收益指标。</w:t>
      </w:r>
    </w:p>
    <w:p w14:paraId="355B51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“受益群众满意度”指标，预期指标值为≥90%，实际完成为99.17%。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1F87627C">
      <w:pPr>
        <w:spacing w:line="540" w:lineRule="exact"/>
        <w:ind w:firstLine="567"/>
        <w:rPr>
          <w:rStyle w:val="18"/>
          <w:rFonts w:hint="eastAsia" w:ascii="楷体" w:hAnsi="楷体" w:eastAsia="楷体"/>
          <w:b w:val="0"/>
          <w:bCs w:val="0"/>
          <w:spacing w:val="-4"/>
          <w:sz w:val="32"/>
          <w:szCs w:val="32"/>
        </w:rPr>
      </w:pPr>
    </w:p>
    <w:p w14:paraId="3ED940F3">
      <w:pPr>
        <w:spacing w:line="540" w:lineRule="exact"/>
        <w:ind w:firstLine="567"/>
        <w:rPr>
          <w:rStyle w:val="18"/>
          <w:rFonts w:ascii="楷体" w:hAnsi="楷体" w:eastAsia="楷体"/>
          <w:spacing w:val="-4"/>
          <w:sz w:val="32"/>
          <w:szCs w:val="32"/>
        </w:rPr>
      </w:pPr>
    </w:p>
    <w:p w14:paraId="78FC0BB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DA5A3B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妇女儿童工作经费项目2024年预算数为0.5万元，截至2024年12月31日共支出0.5万元，预算执行率为100%。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妇联建立健全了预算管理规章制度，各部门严格按预算编制的原则和要求做好当年预算编制工作，在预算绩效管理工作中，做到合理安排各项资金，重点保障基本支出，按轻重缓急顺序原则，优先安排了玛纳斯县妇联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“妇女微家”活动缺少专项经费，导致一些活动无法顺利开展，或者活动质量受到限制。主要原因是“妇女微家”项目的资金来源主要依赖于政府拨款和社会捐赠，但这些资金往往有限且不稳定。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一些“妇女微家”缺乏特色和优势，活动形式单一，难以吸引妇女群众的积极参与。主要原因是部分“妇女微家”在活动策划和执行方面缺乏创新和策划能力，导致活动内容单一、形式雷同。</w:t>
      </w:r>
    </w:p>
    <w:p w14:paraId="1FFC805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754587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1.拓宽资金来源渠道，除了政府拨款和社会捐赠外，可以探索与企业合作、开展公益活动筹集资金等方式。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2.深入了解妇女群众的需求，结合当地实际，开展丰富多彩、形式多样的活动。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3.突出妇女微家的特色和优势，打造品牌活动，提高知名度和影响力。</w:t>
      </w:r>
    </w:p>
    <w:p w14:paraId="40C7784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AA190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322256D3">
      <w:pPr>
        <w:spacing w:line="540" w:lineRule="exact"/>
        <w:ind w:firstLine="567"/>
        <w:rPr>
          <w:rStyle w:val="18"/>
          <w:rFonts w:ascii="仿宋" w:hAnsi="仿宋" w:eastAsia="仿宋"/>
          <w:b w:val="0"/>
          <w:spacing w:val="-4"/>
          <w:sz w:val="32"/>
          <w:szCs w:val="32"/>
        </w:rPr>
      </w:pPr>
    </w:p>
    <w:p w14:paraId="17B76C4A">
      <w:pPr>
        <w:spacing w:line="540" w:lineRule="exact"/>
        <w:ind w:firstLine="567"/>
        <w:rPr>
          <w:rStyle w:val="18"/>
          <w:rFonts w:ascii="仿宋" w:hAnsi="仿宋" w:eastAsia="仿宋"/>
          <w:b w:val="0"/>
          <w:spacing w:val="-4"/>
          <w:sz w:val="32"/>
          <w:szCs w:val="32"/>
        </w:rPr>
      </w:pPr>
    </w:p>
    <w:p w14:paraId="4BD5870F">
      <w:pPr>
        <w:spacing w:line="540" w:lineRule="exact"/>
        <w:ind w:firstLine="567"/>
        <w:rPr>
          <w:rStyle w:val="18"/>
          <w:rFonts w:ascii="仿宋" w:hAnsi="仿宋" w:eastAsia="仿宋"/>
          <w:b w:val="0"/>
          <w:spacing w:val="-4"/>
          <w:sz w:val="32"/>
          <w:szCs w:val="32"/>
        </w:rPr>
      </w:pPr>
    </w:p>
    <w:p w14:paraId="122BB443">
      <w:pPr>
        <w:spacing w:line="540" w:lineRule="exact"/>
        <w:ind w:firstLine="567"/>
        <w:rPr>
          <w:rStyle w:val="18"/>
          <w:rFonts w:ascii="仿宋" w:hAnsi="仿宋" w:eastAsia="仿宋"/>
          <w:b w:val="0"/>
          <w:spacing w:val="-4"/>
          <w:sz w:val="32"/>
          <w:szCs w:val="32"/>
        </w:rPr>
      </w:pPr>
    </w:p>
    <w:p w14:paraId="6FD3694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4A6343">
        <w:pPr>
          <w:pStyle w:val="12"/>
          <w:jc w:val="center"/>
        </w:pPr>
        <w:r>
          <w:fldChar w:fldCharType="begin"/>
        </w:r>
        <w:r>
          <w:instrText xml:space="preserve">PAGE   \* MERGEFORMAT</w:instrText>
        </w:r>
        <w:r>
          <w:fldChar w:fldCharType="separate"/>
        </w:r>
        <w:r>
          <w:rPr>
            <w:lang w:val="zh-CN"/>
          </w:rPr>
          <w:t>2</w:t>
        </w:r>
        <w:r>
          <w:fldChar w:fldCharType="end"/>
        </w:r>
      </w:p>
    </w:sdtContent>
  </w:sdt>
  <w:p w14:paraId="6E383CF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0A81027"/>
    <w:rsid w:val="32A221C5"/>
    <w:rsid w:val="33F20F2A"/>
    <w:rsid w:val="34C44675"/>
    <w:rsid w:val="3B5B5607"/>
    <w:rsid w:val="3CE21B3C"/>
    <w:rsid w:val="46AD611F"/>
    <w:rsid w:val="4D2606A1"/>
    <w:rsid w:val="51830480"/>
    <w:rsid w:val="53A616BE"/>
    <w:rsid w:val="54662BFB"/>
    <w:rsid w:val="62051CA5"/>
    <w:rsid w:val="6C3A69EF"/>
    <w:rsid w:val="7443313B"/>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5463</Words>
  <Characters>5697</Characters>
  <Lines>4</Lines>
  <Paragraphs>1</Paragraphs>
  <TotalTime>8</TotalTime>
  <ScaleCrop>false</ScaleCrop>
  <LinksUpToDate>false</LinksUpToDate>
  <CharactersWithSpaces>5717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2025-08-11T11:30:46Z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