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D36F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3E8A092">
      <w:pPr>
        <w:spacing w:line="540" w:lineRule="exact"/>
        <w:jc w:val="center"/>
        <w:rPr>
          <w:rFonts w:ascii="华文中宋" w:hAnsi="华文中宋" w:eastAsia="华文中宋" w:cs="宋体"/>
          <w:b/>
          <w:kern w:val="0"/>
          <w:sz w:val="52"/>
          <w:szCs w:val="52"/>
        </w:rPr>
      </w:pPr>
    </w:p>
    <w:p w14:paraId="1B33808D">
      <w:pPr>
        <w:spacing w:line="540" w:lineRule="exact"/>
        <w:jc w:val="center"/>
        <w:rPr>
          <w:rFonts w:ascii="华文中宋" w:hAnsi="华文中宋" w:eastAsia="华文中宋" w:cs="宋体"/>
          <w:b/>
          <w:kern w:val="0"/>
          <w:sz w:val="52"/>
          <w:szCs w:val="52"/>
        </w:rPr>
      </w:pPr>
    </w:p>
    <w:p w14:paraId="07B31E89">
      <w:pPr>
        <w:spacing w:line="540" w:lineRule="exact"/>
        <w:jc w:val="center"/>
        <w:rPr>
          <w:rFonts w:ascii="华文中宋" w:hAnsi="华文中宋" w:eastAsia="华文中宋" w:cs="宋体"/>
          <w:b/>
          <w:kern w:val="0"/>
          <w:sz w:val="52"/>
          <w:szCs w:val="52"/>
        </w:rPr>
      </w:pPr>
    </w:p>
    <w:p w14:paraId="039509C0">
      <w:pPr>
        <w:spacing w:line="540" w:lineRule="exact"/>
        <w:jc w:val="center"/>
        <w:rPr>
          <w:rFonts w:ascii="华文中宋" w:hAnsi="华文中宋" w:eastAsia="华文中宋" w:cs="宋体"/>
          <w:b/>
          <w:kern w:val="0"/>
          <w:sz w:val="52"/>
          <w:szCs w:val="52"/>
        </w:rPr>
      </w:pPr>
    </w:p>
    <w:p w14:paraId="0EA80927">
      <w:pPr>
        <w:spacing w:line="540" w:lineRule="exact"/>
        <w:jc w:val="center"/>
        <w:rPr>
          <w:rFonts w:ascii="华文中宋" w:hAnsi="华文中宋" w:eastAsia="华文中宋" w:cs="宋体"/>
          <w:b/>
          <w:kern w:val="0"/>
          <w:sz w:val="52"/>
          <w:szCs w:val="52"/>
        </w:rPr>
      </w:pPr>
    </w:p>
    <w:p w14:paraId="46037084">
      <w:pPr>
        <w:spacing w:line="540" w:lineRule="exact"/>
        <w:jc w:val="center"/>
        <w:rPr>
          <w:rFonts w:ascii="华文中宋" w:hAnsi="华文中宋" w:eastAsia="华文中宋" w:cs="宋体"/>
          <w:b/>
          <w:kern w:val="0"/>
          <w:sz w:val="52"/>
          <w:szCs w:val="52"/>
        </w:rPr>
      </w:pPr>
    </w:p>
    <w:p w14:paraId="644A898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A33DF0B">
      <w:pPr>
        <w:spacing w:line="540" w:lineRule="exact"/>
        <w:jc w:val="center"/>
        <w:rPr>
          <w:rFonts w:ascii="华文中宋" w:hAnsi="华文中宋" w:eastAsia="华文中宋" w:cs="宋体"/>
          <w:b/>
          <w:kern w:val="0"/>
          <w:sz w:val="52"/>
          <w:szCs w:val="52"/>
        </w:rPr>
      </w:pPr>
    </w:p>
    <w:p w14:paraId="00FC727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2A88144">
      <w:pPr>
        <w:spacing w:line="540" w:lineRule="exact"/>
        <w:jc w:val="center"/>
        <w:rPr>
          <w:rFonts w:hAnsi="宋体" w:eastAsia="仿宋_GB2312" w:cs="宋体"/>
          <w:kern w:val="0"/>
          <w:sz w:val="30"/>
          <w:szCs w:val="30"/>
        </w:rPr>
      </w:pPr>
    </w:p>
    <w:p w14:paraId="4C94057B">
      <w:pPr>
        <w:spacing w:line="540" w:lineRule="exact"/>
        <w:jc w:val="center"/>
        <w:rPr>
          <w:rFonts w:hAnsi="宋体" w:eastAsia="仿宋_GB2312" w:cs="宋体"/>
          <w:kern w:val="0"/>
          <w:sz w:val="30"/>
          <w:szCs w:val="30"/>
        </w:rPr>
      </w:pPr>
    </w:p>
    <w:p w14:paraId="48CE9B4B">
      <w:pPr>
        <w:spacing w:line="540" w:lineRule="exact"/>
        <w:jc w:val="center"/>
        <w:rPr>
          <w:rFonts w:hAnsi="宋体" w:eastAsia="仿宋_GB2312" w:cs="宋体"/>
          <w:kern w:val="0"/>
          <w:sz w:val="30"/>
          <w:szCs w:val="30"/>
        </w:rPr>
      </w:pPr>
    </w:p>
    <w:p w14:paraId="52CB7344">
      <w:pPr>
        <w:spacing w:line="540" w:lineRule="exact"/>
        <w:jc w:val="center"/>
        <w:rPr>
          <w:rFonts w:hAnsi="宋体" w:eastAsia="仿宋_GB2312" w:cs="宋体"/>
          <w:kern w:val="0"/>
          <w:sz w:val="30"/>
          <w:szCs w:val="30"/>
        </w:rPr>
      </w:pPr>
    </w:p>
    <w:p w14:paraId="2C09EE06">
      <w:pPr>
        <w:spacing w:line="540" w:lineRule="exact"/>
        <w:jc w:val="center"/>
        <w:rPr>
          <w:rFonts w:hAnsi="宋体" w:eastAsia="仿宋_GB2312" w:cs="宋体"/>
          <w:kern w:val="0"/>
          <w:sz w:val="30"/>
          <w:szCs w:val="30"/>
        </w:rPr>
      </w:pPr>
    </w:p>
    <w:p w14:paraId="1253BEB5">
      <w:pPr>
        <w:spacing w:line="540" w:lineRule="exact"/>
        <w:jc w:val="center"/>
        <w:rPr>
          <w:rFonts w:hAnsi="宋体" w:eastAsia="仿宋_GB2312" w:cs="宋体"/>
          <w:kern w:val="0"/>
          <w:sz w:val="30"/>
          <w:szCs w:val="30"/>
        </w:rPr>
      </w:pPr>
    </w:p>
    <w:p w14:paraId="03E6819D">
      <w:pPr>
        <w:spacing w:line="540" w:lineRule="exact"/>
        <w:rPr>
          <w:rFonts w:hAnsi="宋体" w:eastAsia="仿宋_GB2312" w:cs="宋体"/>
          <w:kern w:val="0"/>
          <w:sz w:val="30"/>
          <w:szCs w:val="30"/>
        </w:rPr>
      </w:pPr>
    </w:p>
    <w:p w14:paraId="4B4B736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8B7523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玛纳斯县文化体育广播电视和旅游局-2023年全民健身设施补短板工程中央基建投资（昌吉州玉都健走步道项目）</w:t>
      </w:r>
    </w:p>
    <w:p w14:paraId="4FD90CF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玛纳斯县文化体育广播电视和旅游局</w:t>
      </w:r>
    </w:p>
    <w:p w14:paraId="44143F9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玛纳斯县文化体育广播电视和旅游局</w:t>
      </w:r>
    </w:p>
    <w:p w14:paraId="40C7464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田玉刚</w:t>
      </w:r>
    </w:p>
    <w:p w14:paraId="108BE1A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2025年03月12日</w:t>
      </w:r>
    </w:p>
    <w:p w14:paraId="692E3837">
      <w:pPr>
        <w:spacing w:line="700" w:lineRule="exact"/>
        <w:ind w:firstLine="708" w:firstLineChars="236"/>
        <w:jc w:val="left"/>
        <w:rPr>
          <w:rFonts w:hAnsi="宋体" w:eastAsia="仿宋_GB2312" w:cs="宋体"/>
          <w:kern w:val="0"/>
          <w:sz w:val="30"/>
          <w:szCs w:val="30"/>
        </w:rPr>
      </w:pPr>
    </w:p>
    <w:p w14:paraId="48BF0B05">
      <w:pPr>
        <w:spacing w:line="540" w:lineRule="exact"/>
        <w:rPr>
          <w:rStyle w:val="18"/>
          <w:rFonts w:ascii="黑体" w:hAnsi="黑体" w:eastAsia="黑体"/>
          <w:b w:val="0"/>
          <w:spacing w:val="-4"/>
          <w:sz w:val="32"/>
          <w:szCs w:val="32"/>
        </w:rPr>
      </w:pPr>
    </w:p>
    <w:p w14:paraId="1976831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2CBCAE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0F048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为积极响应全民健身国家战略，满足昌吉州居民日益增长的健身需求，改善公共体育设施条件，2023 年获批中央基建投资实施昌吉州玉都健走步道项目。旨在通过建设健走步道，完善全民健身基础设施，提升居民健康水平和生活质量。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主要建设内容：建设健走步道10公里及相关配套设施。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实施情况：项目于 2023 年9月启动，2023年12月底完工验收，在建设过程中，相关部门密切配合，严格监督工程质量和进度。2024年1月项目已全面建成并投入使用，为居民提供了优质的健身场地。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资金安排落实：项目预算安排总额为 150 万元，均为 2023 年结转资金，2024 年实际收到预算资金 150 万元，预算资金到位率为 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资金实际使用：截至 2024 年 12 月 31 日，项目实际支付资金 126.52 万元，预算执行率 84.35%。结转结余资金 23.48 万元，财政局已将结余资金收回。资金主要用于步道建设工程、设施采购及安装等方面。</w:t>
      </w:r>
    </w:p>
    <w:p w14:paraId="0093DBC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8B31D7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1.？总体目标：成功建设昌吉州玉都健走步道，完善当地全民健身设施，提升居民健身的便利性和积极性，增强政府在公共服务领域的公信力，促进全民健身事业发展。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“支付尾款笔数”指标，预期指标值为≥14 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“尾款支付准确率”指标，预期指标值为100%；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“按结算价格支付剩余工程款”指标，预期指标值为≤150 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“提升政府公信力”指标，预期指标值为显著提升；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“增强群众健身水平”指标，预期指标值为有所增强；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“群众满意度”指标，预期指标值为≥85%。</w:t>
      </w:r>
    </w:p>
    <w:p w14:paraId="41BC45F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E92C14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3A183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此次我单位根据《财政支出绩效评价管理暂行办法》（财预〔2020〕10号）文件要求对昌吉州玉都健走步道项目开展部门绩效评价。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FDA10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BA006A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昌吉州玉都健走步道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本次绩效评价采用的方法比较法、因素分析法、公众评判法对项目绩效目标预期指标值与实施情况进行比较，以及采取公众问卷及抽样调查等方式进行评判的方法对昌吉州玉都健走步道项目进行评价。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7151ADA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18A2B1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昌吉州玉都健走步道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83C3F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601101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此次绩效评价通过组论证的评价指标体系及评分标准，采用的方法比较法、因素分析法、公众评判法，对昌吉州玉都健走步道项目绩效进行客观评价，最终评分结果：总分为9</w:t>
      </w:r>
      <w:r>
        <w:rPr>
          <w:rStyle w:val="18"/>
          <w:rFonts w:hint="eastAsia" w:ascii="楷体" w:hAnsi="楷体" w:eastAsia="楷体"/>
          <w:b w:val="0"/>
          <w:bCs w:val="0"/>
          <w:spacing w:val="-4"/>
          <w:sz w:val="32"/>
          <w:szCs w:val="32"/>
          <w:lang w:val="en-US" w:eastAsia="zh-CN"/>
        </w:rPr>
        <w:t>4.44</w:t>
      </w:r>
      <w:r>
        <w:rPr>
          <w:rStyle w:val="18"/>
          <w:rFonts w:hint="eastAsia" w:ascii="楷体" w:hAnsi="楷体" w:eastAsia="楷体"/>
          <w:b w:val="0"/>
          <w:bCs w:val="0"/>
          <w:spacing w:val="-4"/>
          <w:sz w:val="32"/>
          <w:szCs w:val="32"/>
        </w:rPr>
        <w:t>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表3-1：昌吉州玉都健走步道项目得分表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19.37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95.37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86.66%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95.37%</w:t>
      </w:r>
    </w:p>
    <w:p w14:paraId="233562B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04639D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6684F4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③事前经过必要绩效评估、通过玛纳斯县文化体育广播电视和旅游局党组会议集体决策立项。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6B828E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2A142D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项目过程管理类指标由2个二级指标和5个三级指标构成，权重分20分，实际得分19.37分，各指标业绩值和绩效分值如表4-2所示（详见上传的附件）：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3.37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19.37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资金到位率=（150/150）×100%。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预算执行率=（126.52/150）×100%。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综上，该项指标满分4分，得分3.37分。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①具有《玛纳斯县文化体育广播电视和旅游局财经管理制度》用以管理项目实施。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2840D9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28C1C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项目产出类指标由4个二级指标和4个三级指标构成，权重分30分，实际得分30分，各指标业绩值和绩效分值如表4-3所示（详见上传的附件）：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支付尾款笔数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&gt;=14笔</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=14笔</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尾款支付准确率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按结算价格支付剩余工程款</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=126.52万元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“支付尾款笔数”指标，预期指标值为&gt;=14笔，实际完成为=14笔。实际完成率=（14/14）×100%=100%。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“尾款支付准确率”指标，预期指标值为=100%，实际完成为=100%。。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“按结算价格支付剩余工程款”指标，预期指标值为&lt;=150万元，实际完成为=126.52。实际完成率=100%。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48B85D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35DB4E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项目效益类指标由2个二级指标和3个三级指标构成，权重分30分，实际得分26分，各指标业绩值和绩效分值如表4-4所示（详见上传的附件）：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提升政府公信力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显著提升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增强群众健身水平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有所增强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社会公众对免开场所公共文化满意度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“提升政府公信力”指标，预期指标值为显著提升，实际完成为达到预期指标。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“增强群众健身水平”指标，预期指标值为有所增强，实际完成为达到预期指标。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通过项目的实施，群众的体育锻炼场地得到了进一步提升，身体素质得到进一步提升，由于项目资金未全额支付，故部分资金效益未全部实现。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综上，该项指标满分20分，得分16分。</w:t>
      </w:r>
    </w:p>
    <w:p w14:paraId="3910A18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“群众满意度”指标，预期指标值为&gt;=85%，实际完成为100%。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7B63A66E">
      <w:pPr>
        <w:spacing w:line="540" w:lineRule="exact"/>
        <w:ind w:firstLine="567"/>
        <w:rPr>
          <w:rStyle w:val="18"/>
          <w:rFonts w:hint="eastAsia" w:ascii="楷体" w:hAnsi="楷体" w:eastAsia="楷体"/>
          <w:b w:val="0"/>
          <w:bCs w:val="0"/>
          <w:spacing w:val="-4"/>
          <w:sz w:val="32"/>
          <w:szCs w:val="32"/>
        </w:rPr>
      </w:pPr>
    </w:p>
    <w:p w14:paraId="5CAA5D9F">
      <w:pPr>
        <w:spacing w:line="540" w:lineRule="exact"/>
        <w:ind w:firstLine="567"/>
        <w:rPr>
          <w:rStyle w:val="18"/>
          <w:rFonts w:ascii="楷体" w:hAnsi="楷体" w:eastAsia="楷体"/>
          <w:spacing w:val="-4"/>
          <w:sz w:val="32"/>
          <w:szCs w:val="32"/>
        </w:rPr>
      </w:pPr>
    </w:p>
    <w:p w14:paraId="534D727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7496E7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 xml:space="preserve"> （一）主要经验及做法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“昌吉州玉都健走步道项目”指标，项目2024年预算数为150万元，截至2024年12月31日共支出126.52万元，预算执行率为84.35%。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旅局建立健全了预算管理规章制度，各部门严格按预算编制的原则和要求做好当年预算编制工作，在预算绩效管理工作中，做到合理安排各项资金，重点保障基本支出，按轻重缓急顺序原则，优先安排了文旅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项目支出绩效评价工作还存在自我审定的局限性，项目支出绩效工作有较大弹性，评价报告多局限于描述项目实施情况，侧面影响评价质量，在客观性和公正性上说服力不强。</w:t>
      </w:r>
    </w:p>
    <w:p w14:paraId="215A85F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36C9D4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六、有关建议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（一）完善绩效指标体系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补充和细化经济效益和生态效益相关的绩效指标。如设置周边商业销售额增长率、体育产业增加值等指标衡量经济效益；增加植被覆盖率变化、污染物减排量等指标评估生态效益。通过完善指标体系，更全面、准确地评价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（二）健全设施维护和管理机制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步道及配套设施的维护管理责任主体，制定详细的维护计划和标准。可通过政府购买服务、建立志愿者队伍或引导社会力量参与等方式，保障设施得到及时有效的维护。同时，建立设施维护资金保障机制，确保维护工作的持续开展，延长设施使用寿命，实现项目的可持续发展。</w:t>
      </w:r>
    </w:p>
    <w:p w14:paraId="0AF8A6D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0FC1D9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无其他需要说明的问题。</w:t>
      </w:r>
    </w:p>
    <w:p w14:paraId="1FA11055">
      <w:pPr>
        <w:spacing w:line="540" w:lineRule="exact"/>
        <w:ind w:firstLine="567"/>
        <w:rPr>
          <w:rStyle w:val="18"/>
          <w:rFonts w:ascii="仿宋" w:hAnsi="仿宋" w:eastAsia="仿宋"/>
          <w:b w:val="0"/>
          <w:spacing w:val="-4"/>
          <w:sz w:val="32"/>
          <w:szCs w:val="32"/>
        </w:rPr>
      </w:pPr>
    </w:p>
    <w:p w14:paraId="17DEB323">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8E6F8EA">
        <w:pPr>
          <w:pStyle w:val="12"/>
          <w:jc w:val="center"/>
        </w:pPr>
        <w:r>
          <w:fldChar w:fldCharType="begin"/>
        </w:r>
        <w:r>
          <w:instrText xml:space="preserve">PAGE   \* MERGEFORMAT</w:instrText>
        </w:r>
        <w:r>
          <w:fldChar w:fldCharType="separate"/>
        </w:r>
        <w:r>
          <w:rPr>
            <w:lang w:val="zh-CN"/>
          </w:rPr>
          <w:t>2</w:t>
        </w:r>
        <w:r>
          <w:fldChar w:fldCharType="end"/>
        </w:r>
      </w:p>
    </w:sdtContent>
  </w:sdt>
  <w:p w14:paraId="3B8AFD1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285445E"/>
    <w:rsid w:val="13BE561A"/>
    <w:rsid w:val="15392994"/>
    <w:rsid w:val="18FE139B"/>
    <w:rsid w:val="3029612C"/>
    <w:rsid w:val="32A221C5"/>
    <w:rsid w:val="33F20F2A"/>
    <w:rsid w:val="34C44675"/>
    <w:rsid w:val="3B5B5607"/>
    <w:rsid w:val="3CE21B3C"/>
    <w:rsid w:val="46AD611F"/>
    <w:rsid w:val="488443D1"/>
    <w:rsid w:val="4D2606A1"/>
    <w:rsid w:val="51830480"/>
    <w:rsid w:val="53A616BE"/>
    <w:rsid w:val="54662BFB"/>
    <w:rsid w:val="62051CA5"/>
    <w:rsid w:val="6C3A69EF"/>
    <w:rsid w:val="6DCD1564"/>
    <w:rsid w:val="713515E2"/>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6057</Words>
  <Characters>6429</Characters>
  <Lines>4</Lines>
  <Paragraphs>1</Paragraphs>
  <TotalTime>9</TotalTime>
  <ScaleCrop>false</ScaleCrop>
  <LinksUpToDate>false</LinksUpToDate>
  <CharactersWithSpaces>6647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2025-08-12T05:16:14Z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