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2ECA80">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16DDB91A">
      <w:pPr>
        <w:spacing w:line="540" w:lineRule="exact"/>
        <w:jc w:val="center"/>
        <w:rPr>
          <w:rFonts w:ascii="华文中宋" w:hAnsi="华文中宋" w:eastAsia="华文中宋" w:cs="宋体"/>
          <w:b/>
          <w:kern w:val="0"/>
          <w:sz w:val="52"/>
          <w:szCs w:val="52"/>
        </w:rPr>
      </w:pPr>
    </w:p>
    <w:p w14:paraId="6C2EFBD9">
      <w:pPr>
        <w:spacing w:line="540" w:lineRule="exact"/>
        <w:jc w:val="center"/>
        <w:rPr>
          <w:rFonts w:ascii="华文中宋" w:hAnsi="华文中宋" w:eastAsia="华文中宋" w:cs="宋体"/>
          <w:b/>
          <w:kern w:val="0"/>
          <w:sz w:val="52"/>
          <w:szCs w:val="52"/>
        </w:rPr>
      </w:pPr>
    </w:p>
    <w:p w14:paraId="0C6796C2">
      <w:pPr>
        <w:spacing w:line="540" w:lineRule="exact"/>
        <w:jc w:val="center"/>
        <w:rPr>
          <w:rFonts w:ascii="华文中宋" w:hAnsi="华文中宋" w:eastAsia="华文中宋" w:cs="宋体"/>
          <w:b/>
          <w:kern w:val="0"/>
          <w:sz w:val="52"/>
          <w:szCs w:val="52"/>
        </w:rPr>
      </w:pPr>
    </w:p>
    <w:p w14:paraId="651CB0F4">
      <w:pPr>
        <w:spacing w:line="540" w:lineRule="exact"/>
        <w:jc w:val="center"/>
        <w:rPr>
          <w:rFonts w:ascii="华文中宋" w:hAnsi="华文中宋" w:eastAsia="华文中宋" w:cs="宋体"/>
          <w:b/>
          <w:kern w:val="0"/>
          <w:sz w:val="52"/>
          <w:szCs w:val="52"/>
        </w:rPr>
      </w:pPr>
    </w:p>
    <w:p w14:paraId="4131B42E">
      <w:pPr>
        <w:spacing w:line="540" w:lineRule="exact"/>
        <w:jc w:val="center"/>
        <w:rPr>
          <w:rFonts w:ascii="华文中宋" w:hAnsi="华文中宋" w:eastAsia="华文中宋" w:cs="宋体"/>
          <w:b/>
          <w:kern w:val="0"/>
          <w:sz w:val="52"/>
          <w:szCs w:val="52"/>
        </w:rPr>
      </w:pPr>
    </w:p>
    <w:p w14:paraId="56A3655C">
      <w:pPr>
        <w:spacing w:line="540" w:lineRule="exact"/>
        <w:jc w:val="center"/>
        <w:rPr>
          <w:rFonts w:ascii="华文中宋" w:hAnsi="华文中宋" w:eastAsia="华文中宋" w:cs="宋体"/>
          <w:b/>
          <w:kern w:val="0"/>
          <w:sz w:val="52"/>
          <w:szCs w:val="52"/>
        </w:rPr>
      </w:pPr>
    </w:p>
    <w:p w14:paraId="08908B60">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44B34485">
      <w:pPr>
        <w:spacing w:line="540" w:lineRule="exact"/>
        <w:jc w:val="center"/>
        <w:rPr>
          <w:rFonts w:ascii="华文中宋" w:hAnsi="华文中宋" w:eastAsia="华文中宋" w:cs="宋体"/>
          <w:b/>
          <w:kern w:val="0"/>
          <w:sz w:val="52"/>
          <w:szCs w:val="52"/>
        </w:rPr>
      </w:pPr>
    </w:p>
    <w:p w14:paraId="66EDBFCC">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6FC71E32">
      <w:pPr>
        <w:spacing w:line="540" w:lineRule="exact"/>
        <w:jc w:val="center"/>
        <w:rPr>
          <w:rFonts w:hAnsi="宋体" w:eastAsia="仿宋_GB2312" w:cs="宋体"/>
          <w:kern w:val="0"/>
          <w:sz w:val="30"/>
          <w:szCs w:val="30"/>
        </w:rPr>
      </w:pPr>
    </w:p>
    <w:p w14:paraId="7EEAF109">
      <w:pPr>
        <w:spacing w:line="540" w:lineRule="exact"/>
        <w:jc w:val="center"/>
        <w:rPr>
          <w:rFonts w:hAnsi="宋体" w:eastAsia="仿宋_GB2312" w:cs="宋体"/>
          <w:kern w:val="0"/>
          <w:sz w:val="30"/>
          <w:szCs w:val="30"/>
        </w:rPr>
      </w:pPr>
    </w:p>
    <w:p w14:paraId="00A603A2">
      <w:pPr>
        <w:spacing w:line="540" w:lineRule="exact"/>
        <w:jc w:val="center"/>
        <w:rPr>
          <w:rFonts w:hAnsi="宋体" w:eastAsia="仿宋_GB2312" w:cs="宋体"/>
          <w:kern w:val="0"/>
          <w:sz w:val="30"/>
          <w:szCs w:val="30"/>
        </w:rPr>
      </w:pPr>
    </w:p>
    <w:p w14:paraId="79A77190">
      <w:pPr>
        <w:spacing w:line="540" w:lineRule="exact"/>
        <w:jc w:val="center"/>
        <w:rPr>
          <w:rFonts w:hAnsi="宋体" w:eastAsia="仿宋_GB2312" w:cs="宋体"/>
          <w:kern w:val="0"/>
          <w:sz w:val="30"/>
          <w:szCs w:val="30"/>
        </w:rPr>
      </w:pPr>
    </w:p>
    <w:p w14:paraId="2861CDDA">
      <w:pPr>
        <w:spacing w:line="540" w:lineRule="exact"/>
        <w:jc w:val="center"/>
        <w:rPr>
          <w:rFonts w:hAnsi="宋体" w:eastAsia="仿宋_GB2312" w:cs="宋体"/>
          <w:kern w:val="0"/>
          <w:sz w:val="30"/>
          <w:szCs w:val="30"/>
        </w:rPr>
      </w:pPr>
    </w:p>
    <w:p w14:paraId="45073C67">
      <w:pPr>
        <w:spacing w:line="540" w:lineRule="exact"/>
        <w:rPr>
          <w:rFonts w:hAnsi="宋体" w:eastAsia="仿宋_GB2312" w:cs="宋体"/>
          <w:kern w:val="0"/>
          <w:sz w:val="30"/>
          <w:szCs w:val="30"/>
        </w:rPr>
      </w:pPr>
    </w:p>
    <w:p w14:paraId="34B5DDCC">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1659CFAE">
      <w:pPr>
        <w:spacing w:line="700" w:lineRule="exact"/>
        <w:ind w:firstLine="900" w:firstLineChars="250"/>
        <w:jc w:val="left"/>
        <w:rPr>
          <w:rStyle w:val="18"/>
          <w:rFonts w:hint="eastAsia" w:ascii="楷体" w:hAnsi="楷体" w:eastAsia="楷体" w:cs="宋体"/>
          <w:spacing w:val="-4"/>
          <w:kern w:val="0"/>
          <w:sz w:val="32"/>
          <w:szCs w:val="32"/>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玛纳斯县妇幼保健院-2024年中央专项彩票公益金支持地方社会公益事业发展资金-妇女“宫颈癌筛查”项目</w:t>
      </w:r>
    </w:p>
    <w:p w14:paraId="09532E33">
      <w:pPr>
        <w:spacing w:line="540" w:lineRule="exact"/>
        <w:ind w:firstLine="567"/>
        <w:rPr>
          <w:rStyle w:val="18"/>
          <w:rFonts w:hint="eastAsia" w:ascii="楷体" w:hAnsi="楷体" w:eastAsia="楷体"/>
          <w:b/>
          <w:bCs/>
          <w:spacing w:val="-4"/>
          <w:sz w:val="28"/>
          <w:szCs w:val="28"/>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玛纳斯县妇幼保健院</w:t>
      </w:r>
    </w:p>
    <w:p w14:paraId="59D25779">
      <w:pPr>
        <w:spacing w:line="540" w:lineRule="exact"/>
        <w:ind w:firstLine="900" w:firstLineChars="250"/>
        <w:rPr>
          <w:rStyle w:val="18"/>
          <w:rFonts w:hint="eastAsia" w:ascii="楷体" w:hAnsi="楷体" w:eastAsia="楷体"/>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玛纳斯县妇幼保健院</w:t>
      </w:r>
    </w:p>
    <w:p w14:paraId="3DF59319">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孙新玲</w:t>
      </w:r>
    </w:p>
    <w:p w14:paraId="39799DDD">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2025年03月18日</w:t>
      </w:r>
    </w:p>
    <w:p w14:paraId="538EDEA6">
      <w:pPr>
        <w:spacing w:line="540" w:lineRule="exact"/>
        <w:rPr>
          <w:rStyle w:val="18"/>
          <w:rFonts w:ascii="黑体" w:hAnsi="黑体" w:eastAsia="黑体"/>
          <w:b w:val="0"/>
          <w:spacing w:val="-4"/>
          <w:sz w:val="32"/>
          <w:szCs w:val="32"/>
        </w:rPr>
      </w:pPr>
      <w:bookmarkStart w:id="0" w:name="_GoBack"/>
      <w:bookmarkEnd w:id="0"/>
    </w:p>
    <w:p w14:paraId="5883DE0F">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247B59F3">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7135BF9A">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贯彻落实国家卫生健康委等10部委《加速消除宫颈癌行动计划（2023-2030）》工作要求，提高全区适龄妇女筛查率，提升妇女整体健康水平，2024年自治区利用中央专项彩票专项公益金在全区开展适龄妇女宫颈癌检查项目，逐步提高全区妇女整体健康水平，宫颈癌防治知识知晓率不断提高，促进基层逐步建立制度化、规范化的宫颈癌防治长效机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2.主要内容及实施情况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主要内容：宫颈癌检查项目、检查异常可疑病例管理、人员培训、健康教育和社会宣传。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组织实施：玛纳斯县卫生健康委员会制定项目实施方案，由我院负责项目实施，安排专人负责项目管理工作，包括经费管理、人员培训、健康教育、监督指导、信息收集和报关等工作，规范资金使用流程，确保项目的顺利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2024年中央专项彩票公益金支持地方社会公益事业发展资金-妇女“宫颈癌筛查”项目预算安排总额为4万元，其中财政资金4万元，其他资金0万元，2024年实际收到预算资金4万元，预算资金到位率为100%。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止2024年12月31日，2024年中央专项彩票公益金支持地方社会公益事业发展资金-妇女“宫颈癌筛查”项目实际支付资金4万元，预算执行率100%。结转结余资金0万元，无需上缴国库。项目资金主要用于宫颈癌检查、社会动员与健康教育、信息管理、质量控制、技术指导、培训、人员随访等方面。</w:t>
      </w:r>
    </w:p>
    <w:p w14:paraId="6474669B">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10EA50B0">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中央专项彩票公益金支持地方社会公益事业发展资金-妇女“宫颈癌筛查”绩效总体目标为：逐步提高全区妇女整体健康水平，宫颈癌防治知识知晓率不断提高，促进基层逐步建立制度化、规范化的宫颈癌防治长效机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预算法》、《财政支出绩效评价管理暂行办法》（财预〔2020〕10号）、《自治区党委自治区人民政府关于全面实施预算绩效管理的实施意见》（新党发〔2018〕30号）、《自治区财政支出绩效评价管理暂行办法》（新财预〔2018〕189号）等文件的规定，结合项目实施单位的规章制度以及财务相关资料，评价小组对项目绩效目标进行了进一步的完善，完善后绩效目标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“完成适龄妇女宫颈癌检查”指标，预期指标值为&gt;=1000人；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“宫颈癌检查覆盖率（%）”指标，预期指标值为&gt;=90%；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“宫颈癌检查项目按时完成率”指标，预期指标值为=100%；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“资金支付及时率”指标，预期指标值为=100%；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“宫颈癌检查资金成本”指标，预期指标值为&lt;=4万元；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“预算支出控制率”指标，预期指标值为=100%；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（2）项目效益目标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“妇幼健康服务水平”指标，预期指标值为不断提高；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“受益对象满意度（%）”指标，预期指标值为&gt;=80%。</w:t>
      </w:r>
    </w:p>
    <w:p w14:paraId="125969A5">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76D11616">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351289AC">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2.绩效评价的对象和范围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此次我单位根据《财政支出绩效评价管理暂行办法》（财预〔2020〕10号）文件要求对2024年度我单位实施的2024年中央专项彩票公益金支持地方社会公益事业发展资金-妇女“宫颈癌筛查”项目开展部门绩效评价。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本次绩效评价主要围绕项目决策、项目管理、项目产出、项目效益四个维度，对该专项资金的预算编制、项目实施、监督管理、资金支出使用、绩效目标的实现情况以及受益对象的满意度等开展综合评价。</w:t>
      </w:r>
    </w:p>
    <w:p w14:paraId="7D61DC65">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76E947E5">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财政支出绩效评价管理暂行办法》（财预〔2020〕10号）本次绩效评价秉承科学规范、公正公开、分级分类、绩效相关等原则，按照从投入、过程到产出效果和影响的绩效逻辑路径，结合2024年中央专项彩票公益金支持地方社会公益事业发展资金-妇女“宫颈癌筛查”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2.绩效评价指标体系及绩效评价标准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我单位根据项目的实施资料研读及前期调研，结合项目的实际开展情况，最终形成了项目绩效评价指标体系，指标体系结构如下（详见上传的附件）：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指标解释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指标说明</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项目立项</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立项依据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充分性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项目立项是否符合法律法规、相关政策、发展规划以及部门职责，用以反映和考核项目立项依据情况。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①项目立项是否符合国家法律法规、国民经济发展规划和相关政策；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②项目立项是否符合行业发展规划和政策要求；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③项目立项是否与部门职责范围相符，属于部门履职所需；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④项目是否属于公共财政支持范围，是否符合中央、地方事权支出责任划分原则；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⑤项目是否与相关部门同类项目或部门内部相关项目重复。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立项程序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规范性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项目申请、设立过程是否符合相关要求，用以反映和考核项目立项的规范情况。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①项目是否按照规定的程序申请设立；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②审批文件、材料是否符合相关要求；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③事前是否已经过必要的可行性研究、专家论证、风险评估、绩效评估、集体决策。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项目所设定的绩效目标是否依据充分，是否符合客观实际，用以反映和考核项目绩效目标与项目实施的相符情况。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（如未设定预算绩效目标，也可考核其他工作任务目标）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①项目是否有绩效目标；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②项目绩效目标与实际工作内容是否具有相关性；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③项目预期产出效益和效果是否符合正常的业绩水平；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④是否与预算确定的项目投资额或资金量相匹配。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明确性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依据绩效目标设定的绩效指标是否清晰、细化、可衡量等，用以反映和考核项目绩效目标的明细化情况。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①是否将项目绩效目标细化分解为具体的绩效指标；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②是否通过清晰、可衡量的指标值予以体现；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③是否与项目目标任务数或计划数相对应。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资金投入</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科学性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项目预算编制是否经过科学论证、有明确标准，资金额度与年度目标是否相适应，用以反映和考核项目预算编制的科学性、合理性情况。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①预算编制是否经过科学论证；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②预算内容与项目内容是否匹配；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③预算额度测算依据是否充分，是否按照标准编制；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④预算确定的项目投资额或资金量是否与工作任务相匹配。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资金分配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项目预算资金分配是否有测算依据，与补助单位或地方实际是否相适应，用以反映和考核项目预算资金分配的科学性、合理性情况。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①预算资金分配依据是否充分；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②资金分配额度是否合理，与项目单位或地方实际是否相适应。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资金到位率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实际到位资金与预算资金的比率，用以反映和考核资金落实情况对项目实施的总体保障程度。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资金到位率=（实际到位资金/预算资金）×100%。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实际到位资金：一定时期（本年度或项目期）内落实到具体项目的资金。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预算资金：一定时期（本年度或项目期）内预算安排到具体项目的资金。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预算执行率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项目预算资金是否按照计划执行，用以反映或考核项目预算执行情况。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预算执行率=（实际支出资金/实际到位资金）×100%。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实际支出资金：一定时期（本年度或项目期）内项目实际拨付的资金。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资金使用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合规性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项目资金使用是否符合相关的财务管理制度规定，用以反映和考核项目资金的规范运行情况。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①是否符合国家财经法规和财务管理制度以及有关专项资金管理办法的规定；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②资金的拨付是否有完整的审批程序和手续；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③是否符合项目预算批复或合同规定的用途；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④是否存在截留、挤占、挪用、虚列支出等情况。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组织实施</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健全性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项目实施单位的财务和业务管理制度是否健全，用以反映和考核财务和业务管理制度对项目顺利实施的保障情况。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①是否已制定或具有相应的财务和业务管理制度；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②财务和业务管理制度是否合法、合规、完整。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制度执行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有效性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项目实施是否符合相关管理规定，用以反映和考核相关管理制度的有效执行情况。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②项目调整及支出调整手续是否完备；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③项目合同书、验收报告、技术鉴定等资料是否齐全并及时归档；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④项目实施的人员条件、场地设备、信息支撑等是否落实到位。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产出数量</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实际完成率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项目实施的实际产出数与计划产出数的比率，用以反映和考核项目产出数量目标的实现程度。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实际完成率=（实际产出数/计划产出数）×100%。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实际产出数：一定时期（本年度或项目期）内项目实际产出的产品或提供的服务数量。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计划产出数：项目绩效目标确定的在一定时期（本年度或项目期）内计划产出的产品或提供的服务数量。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产出质量</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质量达标率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项目完成的质量达标产出数与实际产出数的比率，用以反映和考核项目产出质量目标的实现程度。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质量达标率=（质量达标产出数/实际产出数）×100%。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质量达标产出数：一定时期（本年度或项目期）内实际达到既定质量标准的产品或服务数量。既定质量标准是指项目实施单位设立绩效目标时依据计划标准、行业标准、历史标准或其他标准而设定的绩效指标值。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产出时效</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完成及时性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项目实际完成时间与计划完成时间的比较，用以反映和考核项目产出时效目标的实现程度。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实际完成时间：项目实施单位完成该项目实际所耗用的时间。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计划完成时间：按照项目实施计划或相关规定完成该项目所需的时间。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产出成本</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成本节约率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完成项目计划工作目标的实际节约成本与计划成本的比率，用以反映和考核项目的成本节约程度。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成本节约率=[（计划成本-实际成本）/计划成本]×100%。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实际成本：项目实施单位如期、保质、保量完成既定工作目标实际所耗费的支出。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计划成本：项目实施单位为完成工作目标计划安排的支出，一般以项目预算为参考。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实施效益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项目实施所产生的效益。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项目实施所产生的社会效益、经济效益、生态效益、可持续影响等。可根据项目实际情况有选择地设置和细化。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满意度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社会公众或服务对象对项目实施效果的满意程度。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社会公众或服务对象是指因该项目实施而受到影响的部门（单位）、群体或个人。一般采取社会调查的方式。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采用的方法比较法、因素分析法、公众评判法对项目绩效目标预期指标值与实施情况进行比较，以及采取公众问卷及抽样调查等方式进行评判的方法对2024年中央专项彩票公益金支持地方社会公益事业发展资金-妇女“宫颈癌筛查”项目进行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（4）财政部门和预算部门确认或认可的其他标准。</w:t>
      </w:r>
    </w:p>
    <w:p w14:paraId="2BFD81A2">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73AE1DDE">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（1）成立绩效评价项目小组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为确保该项目绩效评价的顺利实施，评价机构组建了绩效评价项目小组。项目小组负责建立联络制度、明确评价责任人、制定评价方案、实施具体评价等工作。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（2）开展前期调研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据此次绩效评价受委托内容，对拟评价的项目实施前期调研。通过调研对2024年中央专项彩票公益金支持地方社会公益事业发展资金-妇女“宫颈癌筛查”项目实施内容、目标信息、预算信息以及其他的一些项目基本信息，有了初步了解，为制定绩效评价工作方案做好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（3）制订绩效评价工作方案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绩效评价项目小组根据有关规定和评价对象的特点以及前期调研收集的一些信息，拟定详细的绩效评价工作方案。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2.具体实施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（1）收集基础资料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根据评价工作的需要和要求，在前期调研的基础上，通过多种渠道全面收集项目基础信息资料，主要包括：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①被评价单位基本概况，如单位职能、事业发展规划、预决算情况、项目立项依据等；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②绩效目标及其设立依据和调整情况；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③管理措施及组织实施情况；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④被评价单位总结分析的绩效目标完成情况及绩效报告；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⑤与绩效评价相关的计划标准、行业标准、历史标准等；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⑥其他必要的相关资料等。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（2）整理、研读基础资料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3.分析评价和撰写报告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（1）综合分析评价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①根据所收集的基础资料，结合现场核查的有关情况，整理出绩效评价所需的项目材料和基础数据。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②将初步评价结论、调整事项、专家咨询意见和有关说明等提交单位内部讨论并征求意见。之后，对所征求的意见及时地进行收集和整理。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（2）撰写报告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绩效评价项目小组依照整理、分析后的项目材料、数据资料，依据评价形成的初步结论，按照既定的格式和内容要求撰写绩效评价初步报告，最终形成评价结果。</w:t>
      </w:r>
    </w:p>
    <w:p w14:paraId="50954ED3">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2F0AE267">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此次绩效评价通过组论证的评价指标体系及评分标准，采用的方法比较法、因素分析法、公众评判法，对2024年中央专项彩票公益金支持地方社会公益事业发展资金-妇女“宫颈癌筛查”项目绩效进行客观评价，最终评分结果：总分为100分，绩效评级为“优”。各部分权重和绩效汇总分值如下表3-1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表3-1：2024年中央专项彩票公益金支持地方社会公益事业发展资金-妇女“宫颈癌筛查”项目得分表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指标类别</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1.项目决策</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2.过程管理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3.项目产出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4.项目效益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权重</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得分率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p>
    <w:p w14:paraId="453EE57D">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581F10D5">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1C6A19C1">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项目决策由3个二级指标和6个三级指标构成，权重分20分，实际得分20分，各指标业绩值和绩效分值如表4-1所示（详见上传的附件）：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表4-1项目决策指标及分值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项目立项</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立项依据充分性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立项程序规范性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绩效指标明确性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资金投入</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预算编制科学性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资金分配合理性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①项目立项根据《关于提前下达2024年中央专项彩票公益金支持地方社会公益事业发展（医疗救助）资金预算的通知》昌州财综[2023]16号文件，符合国家法律法规、国民经济发展规划和相关政策；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②项目立项符合行业发展规划和政策要求；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③项目立项与部门职责范围相符，属于部门履职所需；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④项目属于公共财政支持范围，符合中央、地方事权支出责任划分原则；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⑤项目与相关部门同类项目或部门内部相关项目不重复。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①项目按照规定的程序申请设立；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②审批文件、材料符合相关要求；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③事前经过必要的绩效评估、集体决策。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①项目有绩效目标；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②项目绩效目标与实际工作内容具有相关性；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④与预算确定的项目投资额或资金量相匹配。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①将项目绩效目标细化分解为具体的绩效指标；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②通过清晰、可衡量的指标值予以体现；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③与项目目标任务数或计划数相对应。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①预算编制经过科学论证；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③预算额度测算依据充分，按照标准编制；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④预算确定的项目投资额或资金量与工作任务相匹配。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②资金分配额度合理，与项目单位或地方实际相适应。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tab/>
      </w:r>
    </w:p>
    <w:p w14:paraId="6FACA8A5">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6C8858E3">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项目过程管理类指标由2个二级指标和5个三级指标构成，权重分20分，实际得分20分，各指标业绩值和绩效分值如表4-2所示（详见上传的附件）：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表4-2项目管理指标及分值情况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资金到位率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预算执行率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资金使用合规性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组织实施</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8</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管理制度健全性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制度执行有效性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资金到位率=4/4=1×100%=100%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预算执行率=4/4=1×100%=100%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①符合国家财经法规和财务管理制度以及有关专项资金管理办法的规定；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②资金的拨付有完整的审批程序和手续；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③符合项目预算批复或合同规定的用途；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④不存在截留、挤占、挪用、虚列支出等情况。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①已制定财务绩效管理中心制度；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②财务和业务管理制度合法、合规、完整。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②项目调整及支出调整手续完备；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③项目合同书、验收报告、资金支付原始凭证等资料齐全并及时归档；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④项目实施的人员条件、场地设备、信息支撑等落实到位。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p>
    <w:p w14:paraId="32B4FD97">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28350942">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项目产出类指标由4个二级指标和4个三级指标构成，权重分30分，实际得分30分，各指标业绩值和绩效分值如表4-3所示（详见上传的附件）：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表4-3项目产出指标及分值情况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年度指标值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标杆分值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全年实际完成值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数量指标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完成适龄妇女宫颈癌检查</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&gt;=1000人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=3578人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质量指标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宫颈癌检查覆盖率（%）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&gt;=90%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=115.82%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时效指标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宫颈癌检查项目按时完成率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时效指标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资金支付及时率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成本指标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预算支出控制率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成本指标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宫颈癌检查资金成本</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&lt;=4万元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=4万元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1.项目完成数量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“完成适龄妇女宫颈癌检查”指标，预期指标值为&gt;=1000人，实际完成为=3578人。实际完成率=3.578×100%=357.80%。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2.项目完成质量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“宫颈癌检查覆盖率（%）”指标，预期指标值为&gt;=90%，实际完成为=115.82%。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3.项目完成时效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“资金支付及时率”指标，预期指标值为=100%，实际完成为=100%。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“宫颈癌检查项目按时完成率”指标，预期指标值为=100%，实际完成为=100%。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4.项目完成成本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“宫颈癌检查资金成本”指标，预期指标值为&lt;=4万元，实际完成为=4万元。实际完成率=4/4=1×100%=100%。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“预算支出控制率”指标，预期指标值为=100%，实际完成为=100%。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p>
    <w:p w14:paraId="3E27F78E">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65453CCA">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项目产出类指标由2个二级指标和2个三级指标构成，权重分30分，实际得分30分，各指标业绩值和绩效分值如表4-4所示（详见上传的附件）：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表4-4项目效益指标及分值情况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年度指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标值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标杆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全年实</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际完成值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社会效益指标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妇幼健康服务水平</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不断提高</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不断提高</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满意度指标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受益对象满意度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≥80%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98.93%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“妇幼健康服务水平”指标，预期指标值不断提高，实际完成为不断提高。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通过项目的实施，逐步提高全县妇女整体健康水平，使宫颈癌防治知识知晓率不断提高。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4.可持续影响指标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w:t>
      </w:r>
    </w:p>
    <w:p w14:paraId="10FD6919">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“受益对象满意度（%）”指标，预期指标值为&gt;=80%，实际完成为=98.93%。</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综上，该项指标满分20分，得分20分。</w:t>
      </w:r>
    </w:p>
    <w:p w14:paraId="514D5E4E">
      <w:pPr>
        <w:spacing w:line="540" w:lineRule="exact"/>
        <w:ind w:firstLine="567"/>
        <w:rPr>
          <w:rStyle w:val="18"/>
          <w:rFonts w:hint="eastAsia" w:ascii="楷体" w:hAnsi="楷体" w:eastAsia="楷体"/>
          <w:b w:val="0"/>
          <w:bCs w:val="0"/>
          <w:spacing w:val="-4"/>
          <w:sz w:val="32"/>
          <w:szCs w:val="32"/>
        </w:rPr>
      </w:pPr>
    </w:p>
    <w:p w14:paraId="544F263C">
      <w:pPr>
        <w:spacing w:line="540" w:lineRule="exact"/>
        <w:ind w:firstLine="567"/>
        <w:rPr>
          <w:rStyle w:val="18"/>
          <w:rFonts w:ascii="楷体" w:hAnsi="楷体" w:eastAsia="楷体"/>
          <w:spacing w:val="-4"/>
          <w:sz w:val="32"/>
          <w:szCs w:val="32"/>
        </w:rPr>
      </w:pPr>
    </w:p>
    <w:p w14:paraId="791B0722">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374DAD99">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2024年中央专项彩票公益金支持地方社会公益事业发展资金-妇女“宫颈癌筛查”项目2024年算数为4万元，截至2024年12月31日共支出4万元，预算执行率为100%。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玛纳斯县妇幼保健院建立健全了预算管理规章制度，各部门严格按预算编制的原则和要求做好当年预算编制工作，在预算绩效管理工作中，做到合理安排各项资金，重点保障基本支出，按轻重缓急顺序原则，优先安排了玛纳斯县妇幼保健院事业发展中关系民生与稳定的项目，切实优化资源配置，提高了资金使用的效率和效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1.工作人员绩效管理意识有待增强，未能全面深入认识理解绩效管理工作的意义，预算绩效管理工作有待进一步落实。加强预算绩效目标编制的培训学习，科学合理编制预算，严格执行预算，提高财务信息质量。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2.绩效指标的明确性、可衡量性、相关性还需进一步提升。预算精细化管理还需完善，预算编制管理水平仍有进一步提升的空间。</w:t>
      </w:r>
    </w:p>
    <w:p w14:paraId="3EDAB9C0">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14:paraId="7676DEDF">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1.合理安排预算收支，将预算资金尽量落实到具体项目，争取做到每个支出项目都能在预算中有所反映，使预算充分反映以政府为主体的资金收支活动全貌，保证预算的可执行性。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2.加强预算绩效目标管理工作，明确预算项目绩效目标编制要求，分类别建立科学合理、细化量化、可比可测预算绩效指标体系，突出结果导向，重点考核实绩。</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3.完善资产管理，抓好“三公”经费控制。严格编制政府采购年初预算和计划，规范各资产采购制度、使用管理制度、资产处置和报废审批制度等，加强单位内部的资产管理工作。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压实责任，加强监督监管。项目主管部门要加强监管，建立项目建设进度台账，定期跟踪项目实施情况，定期督查项目建设进度，对确因客观原因无法按期动工的项目资金，及时申请退回同级财政，以减少和防范资金管理风险。</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5.根据本单位近年各个项目实际支出情况，合理测算各类别支出的占比情况，依据中长期发展工作目标，结合部门年度工作方向，调整部门整体支出预算项目分类占比，对政府采购项目开展采购内容、采购方式、支付比例、当年支出金额的前期论证，增强整体预算资金安排的科学性，持续优化支出预算结构。 </w:t>
      </w:r>
    </w:p>
    <w:p w14:paraId="0C6CC853">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14:paraId="73BED96C">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w:t>
      </w:r>
    </w:p>
    <w:p w14:paraId="287E0E8A">
      <w:pPr>
        <w:spacing w:line="540" w:lineRule="exact"/>
        <w:ind w:firstLine="567"/>
        <w:rPr>
          <w:rStyle w:val="18"/>
          <w:rFonts w:ascii="仿宋" w:hAnsi="仿宋" w:eastAsia="仿宋"/>
          <w:b w:val="0"/>
          <w:spacing w:val="-4"/>
          <w:sz w:val="32"/>
          <w:szCs w:val="32"/>
        </w:rPr>
      </w:pPr>
    </w:p>
    <w:p w14:paraId="7365422A">
      <w:pPr>
        <w:spacing w:line="540" w:lineRule="exact"/>
        <w:ind w:firstLine="567"/>
        <w:rPr>
          <w:rStyle w:val="18"/>
          <w:rFonts w:ascii="仿宋" w:hAnsi="仿宋" w:eastAsia="仿宋"/>
          <w:b w:val="0"/>
          <w:spacing w:val="-4"/>
          <w:sz w:val="32"/>
          <w:szCs w:val="32"/>
        </w:rPr>
      </w:pPr>
    </w:p>
    <w:p w14:paraId="6B482341">
      <w:pPr>
        <w:spacing w:line="540" w:lineRule="exact"/>
        <w:ind w:firstLine="567"/>
        <w:rPr>
          <w:rStyle w:val="18"/>
          <w:rFonts w:ascii="仿宋" w:hAnsi="仿宋" w:eastAsia="仿宋"/>
          <w:b w:val="0"/>
          <w:spacing w:val="-4"/>
          <w:sz w:val="32"/>
          <w:szCs w:val="32"/>
        </w:rPr>
      </w:pPr>
    </w:p>
    <w:p w14:paraId="208C2E76">
      <w:pPr>
        <w:spacing w:line="540" w:lineRule="exact"/>
        <w:ind w:firstLine="567"/>
        <w:rPr>
          <w:rStyle w:val="18"/>
          <w:rFonts w:ascii="仿宋" w:hAnsi="仿宋" w:eastAsia="仿宋"/>
          <w:b w:val="0"/>
          <w:spacing w:val="-4"/>
          <w:sz w:val="32"/>
          <w:szCs w:val="32"/>
        </w:rPr>
      </w:pPr>
    </w:p>
    <w:p w14:paraId="76EB16C4">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33F4E8D8">
        <w:pPr>
          <w:pStyle w:val="12"/>
          <w:jc w:val="center"/>
        </w:pPr>
        <w:r>
          <w:fldChar w:fldCharType="begin"/>
        </w:r>
        <w:r>
          <w:instrText xml:space="preserve">PAGE   \* MERGEFORMAT</w:instrText>
        </w:r>
        <w:r>
          <w:fldChar w:fldCharType="separate"/>
        </w:r>
        <w:r>
          <w:rPr>
            <w:lang w:val="zh-CN"/>
          </w:rPr>
          <w:t>2</w:t>
        </w:r>
        <w:r>
          <w:fldChar w:fldCharType="end"/>
        </w:r>
      </w:p>
    </w:sdtContent>
  </w:sdt>
  <w:p w14:paraId="29DC41F1">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19761607"/>
    <w:rsid w:val="29A477A7"/>
    <w:rsid w:val="3029612C"/>
    <w:rsid w:val="32A221C5"/>
    <w:rsid w:val="33F20F2A"/>
    <w:rsid w:val="34C44675"/>
    <w:rsid w:val="3B5B5607"/>
    <w:rsid w:val="3CE21B3C"/>
    <w:rsid w:val="46AD611F"/>
    <w:rsid w:val="49797DF3"/>
    <w:rsid w:val="4D2606A1"/>
    <w:rsid w:val="506435D6"/>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32</Pages>
  <Words>8759</Words>
  <Characters>9203</Characters>
  <Lines>4</Lines>
  <Paragraphs>1</Paragraphs>
  <TotalTime>25</TotalTime>
  <ScaleCrop>false</ScaleCrop>
  <LinksUpToDate>false</LinksUpToDate>
  <CharactersWithSpaces>9462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薇子</cp:lastModifiedBy>
  <cp:lastPrinted>2018-12-31T10:56:00Z</cp:lastPrinted>
  <dcterms:modified xsi:type="dcterms:W3CDTF">2025-09-08T07:37:55Z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86A4BE803B594D54BB30BEB283D7FDDD_13</vt:lpwstr>
  </property>
  <property fmtid="{D5CDD505-2E9C-101B-9397-08002B2CF9AE}" pid="4" name="KSOTemplateDocerSaveRecord">
    <vt:lpwstr>eyJoZGlkIjoiNzU2MGExNzM5Mjc3Y2Q4NGNhODkwMGM1MjAwYmRiYTYiLCJ1c2VySWQiOiI2MDEwNDg3MzIifQ==</vt:lpwstr>
  </property>
</Properties>
</file>