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B92782">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7930C4C">
      <w:pPr>
        <w:spacing w:line="540" w:lineRule="exact"/>
        <w:jc w:val="center"/>
        <w:rPr>
          <w:rFonts w:ascii="华文中宋" w:hAnsi="华文中宋" w:eastAsia="华文中宋" w:cs="宋体"/>
          <w:b/>
          <w:kern w:val="0"/>
          <w:sz w:val="52"/>
          <w:szCs w:val="52"/>
        </w:rPr>
      </w:pPr>
    </w:p>
    <w:p w14:paraId="58F2C466">
      <w:pPr>
        <w:spacing w:line="540" w:lineRule="exact"/>
        <w:jc w:val="center"/>
        <w:rPr>
          <w:rFonts w:ascii="华文中宋" w:hAnsi="华文中宋" w:eastAsia="华文中宋" w:cs="宋体"/>
          <w:b/>
          <w:kern w:val="0"/>
          <w:sz w:val="52"/>
          <w:szCs w:val="52"/>
        </w:rPr>
      </w:pPr>
    </w:p>
    <w:p w14:paraId="7F974822">
      <w:pPr>
        <w:spacing w:line="540" w:lineRule="exact"/>
        <w:jc w:val="center"/>
        <w:rPr>
          <w:rFonts w:ascii="华文中宋" w:hAnsi="华文中宋" w:eastAsia="华文中宋" w:cs="宋体"/>
          <w:b/>
          <w:kern w:val="0"/>
          <w:sz w:val="52"/>
          <w:szCs w:val="52"/>
        </w:rPr>
      </w:pPr>
    </w:p>
    <w:p w14:paraId="20B7C590">
      <w:pPr>
        <w:spacing w:line="540" w:lineRule="exact"/>
        <w:jc w:val="center"/>
        <w:rPr>
          <w:rFonts w:ascii="华文中宋" w:hAnsi="华文中宋" w:eastAsia="华文中宋" w:cs="宋体"/>
          <w:b/>
          <w:kern w:val="0"/>
          <w:sz w:val="52"/>
          <w:szCs w:val="52"/>
        </w:rPr>
      </w:pPr>
    </w:p>
    <w:p w14:paraId="56297478">
      <w:pPr>
        <w:spacing w:line="540" w:lineRule="exact"/>
        <w:jc w:val="center"/>
        <w:rPr>
          <w:rFonts w:ascii="华文中宋" w:hAnsi="华文中宋" w:eastAsia="华文中宋" w:cs="宋体"/>
          <w:b/>
          <w:kern w:val="0"/>
          <w:sz w:val="52"/>
          <w:szCs w:val="52"/>
        </w:rPr>
      </w:pPr>
    </w:p>
    <w:p w14:paraId="5AD6BB29">
      <w:pPr>
        <w:spacing w:line="540" w:lineRule="exact"/>
        <w:jc w:val="center"/>
        <w:rPr>
          <w:rFonts w:ascii="华文中宋" w:hAnsi="华文中宋" w:eastAsia="华文中宋" w:cs="宋体"/>
          <w:b/>
          <w:kern w:val="0"/>
          <w:sz w:val="52"/>
          <w:szCs w:val="52"/>
        </w:rPr>
      </w:pPr>
    </w:p>
    <w:p w14:paraId="6F732CB5">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5CCE2799">
      <w:pPr>
        <w:spacing w:line="540" w:lineRule="exact"/>
        <w:jc w:val="center"/>
        <w:rPr>
          <w:rFonts w:ascii="华文中宋" w:hAnsi="华文中宋" w:eastAsia="华文中宋" w:cs="宋体"/>
          <w:b/>
          <w:kern w:val="0"/>
          <w:sz w:val="52"/>
          <w:szCs w:val="52"/>
        </w:rPr>
      </w:pPr>
    </w:p>
    <w:p w14:paraId="3DC47A01">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71885F5D">
      <w:pPr>
        <w:spacing w:line="540" w:lineRule="exact"/>
        <w:jc w:val="center"/>
        <w:rPr>
          <w:rFonts w:hAnsi="宋体" w:eastAsia="仿宋_GB2312" w:cs="宋体"/>
          <w:kern w:val="0"/>
          <w:sz w:val="30"/>
          <w:szCs w:val="30"/>
        </w:rPr>
      </w:pPr>
    </w:p>
    <w:p w14:paraId="31A0AB5C">
      <w:pPr>
        <w:spacing w:line="540" w:lineRule="exact"/>
        <w:jc w:val="center"/>
        <w:rPr>
          <w:rFonts w:hAnsi="宋体" w:eastAsia="仿宋_GB2312" w:cs="宋体"/>
          <w:kern w:val="0"/>
          <w:sz w:val="30"/>
          <w:szCs w:val="30"/>
        </w:rPr>
      </w:pPr>
    </w:p>
    <w:p w14:paraId="41CDFA94">
      <w:pPr>
        <w:spacing w:line="540" w:lineRule="exact"/>
        <w:jc w:val="center"/>
        <w:rPr>
          <w:rFonts w:hAnsi="宋体" w:eastAsia="仿宋_GB2312" w:cs="宋体"/>
          <w:kern w:val="0"/>
          <w:sz w:val="30"/>
          <w:szCs w:val="30"/>
        </w:rPr>
      </w:pPr>
    </w:p>
    <w:p w14:paraId="4472D79C">
      <w:pPr>
        <w:spacing w:line="540" w:lineRule="exact"/>
        <w:jc w:val="center"/>
        <w:rPr>
          <w:rFonts w:hAnsi="宋体" w:eastAsia="仿宋_GB2312" w:cs="宋体"/>
          <w:kern w:val="0"/>
          <w:sz w:val="30"/>
          <w:szCs w:val="30"/>
        </w:rPr>
      </w:pPr>
    </w:p>
    <w:p w14:paraId="103C95E1">
      <w:pPr>
        <w:spacing w:line="540" w:lineRule="exact"/>
        <w:jc w:val="center"/>
        <w:rPr>
          <w:rFonts w:hAnsi="宋体" w:eastAsia="仿宋_GB2312" w:cs="宋体"/>
          <w:kern w:val="0"/>
          <w:sz w:val="30"/>
          <w:szCs w:val="30"/>
        </w:rPr>
      </w:pPr>
    </w:p>
    <w:p w14:paraId="373774CF">
      <w:pPr>
        <w:spacing w:line="540" w:lineRule="exact"/>
        <w:jc w:val="center"/>
        <w:rPr>
          <w:rFonts w:hAnsi="宋体" w:eastAsia="仿宋_GB2312" w:cs="宋体"/>
          <w:kern w:val="0"/>
          <w:sz w:val="30"/>
          <w:szCs w:val="30"/>
        </w:rPr>
      </w:pPr>
    </w:p>
    <w:p w14:paraId="340FC692">
      <w:pPr>
        <w:spacing w:line="540" w:lineRule="exact"/>
        <w:rPr>
          <w:rFonts w:hAnsi="宋体" w:eastAsia="仿宋_GB2312" w:cs="宋体"/>
          <w:kern w:val="0"/>
          <w:sz w:val="30"/>
          <w:szCs w:val="30"/>
        </w:rPr>
      </w:pPr>
    </w:p>
    <w:p w14:paraId="2C1BE9ED">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BFDDD2B">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玛纳斯县玛纳斯河水利管理处-2023年昌吉州本级水利项目专项资金新疆玛纳斯河生态补水渠系设施建设</w:t>
      </w:r>
    </w:p>
    <w:p w14:paraId="2ED1BD71">
      <w:pPr>
        <w:spacing w:line="540" w:lineRule="exact"/>
        <w:ind w:firstLine="567"/>
        <w:rPr>
          <w:rFonts w:ascii="楷体" w:hAnsi="楷体" w:eastAsia="楷体"/>
          <w:b/>
          <w:bCs/>
          <w:spacing w:val="-4"/>
          <w:sz w:val="32"/>
          <w:szCs w:val="32"/>
        </w:rPr>
      </w:pPr>
      <w:bookmarkStart w:id="0" w:name="_GoBack"/>
      <w:bookmarkEnd w:id="0"/>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玛纳斯县玛纳斯河水利管理处</w:t>
      </w:r>
    </w:p>
    <w:p w14:paraId="196FE8D1">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玛纳斯县玛纳斯河水利管理处</w:t>
      </w:r>
    </w:p>
    <w:p w14:paraId="2278E22A">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吕军</w:t>
      </w:r>
    </w:p>
    <w:p w14:paraId="57898042">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2025年03月11日</w:t>
      </w:r>
    </w:p>
    <w:p w14:paraId="0FFB83B9">
      <w:pPr>
        <w:spacing w:line="700" w:lineRule="exact"/>
        <w:ind w:firstLine="708" w:firstLineChars="236"/>
        <w:jc w:val="left"/>
        <w:rPr>
          <w:rFonts w:hAnsi="宋体" w:eastAsia="仿宋_GB2312" w:cs="宋体"/>
          <w:kern w:val="0"/>
          <w:sz w:val="30"/>
          <w:szCs w:val="30"/>
        </w:rPr>
      </w:pPr>
    </w:p>
    <w:p w14:paraId="18C0D87C">
      <w:pPr>
        <w:spacing w:line="540" w:lineRule="exact"/>
        <w:rPr>
          <w:rStyle w:val="18"/>
          <w:rFonts w:ascii="黑体" w:hAnsi="黑体" w:eastAsia="黑体"/>
          <w:b w:val="0"/>
          <w:spacing w:val="-4"/>
          <w:sz w:val="32"/>
          <w:szCs w:val="32"/>
        </w:rPr>
      </w:pPr>
    </w:p>
    <w:p w14:paraId="290C311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79B85480">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7ADC68C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深入贯彻落实习近平生态文明思想，牢固树立“绿水青山就是金山银山”的理念，坚定不移贯彻新发展理念。按照2022年4月6日中央第五生态环境保护督察组向新疆维吾尔自治区和新疆生产建设兵团反馈督察情况和2023年2月16日全国生态环境保护工作会议部署；针对反馈督察情况提出的重点河湖生态流量保障不力，玛纳斯河流域用泄洪水量代替生态水量，洪水季外近30公里河段断流，导致部分生态功能区退化严重的突出问题。根据昌吉回族自治州玛纳斯县第二轮中央生态环境保护督察整改任务；玛纳斯县玛纳斯河流域管理处提出通过建设及提升改造生态补水渠系来保证对玛纳斯河流域内湿地公园等重点生态环境保护对象的生态水量需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本次新疆玛纳斯河生态补水渠系设施建设项目就是针对青年渠输水能力不足，渠系建筑物老旧且建设不完善的部分进行补充建设。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主要内容：维修提升改造渠道3.22公里；新建节制分水闸1座，新建消力池1座，改造闸门3座，桥涵1座。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组织实施：计划于2024年5月25日开工，2024年9月30日完工。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新疆玛纳斯河生态补水渠系设施建设项目预算安排总额为200万元，其中财政资金200万元，其他资金0万元，2024年实际收到预算资金200万元，预算资金到位率为100%。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截止2024年12月31日，新疆玛纳斯河生态补水渠系设施建设项目实际支付资金200万元，预算执行率100%，结转结余资金0万元。项目资金主要用于工程建设、前期费等方面。</w:t>
      </w:r>
    </w:p>
    <w:p w14:paraId="326D2D0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15332DE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疆玛纳斯河生态补水渠系设施建设项目绩效总体目标为：本项目拟投入200万元，主要建设内容为：维修提升改造渠道3.22公里；新建节制分水闸1座，新建消力池1座，改造闸门3座，桥涵1座。项目计划于2024年10月30日完成，通过本项目的实施，为满足群众灌区灌溉的需要，促进灌区农业经济的发展，有效改善农田灌溉面积，使受益群众满意度达到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“改造渠道长度（公里）”指标，预期指标值为＞=3.22公里；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“更新改造附属设施（座）”指标，预期指标值为＞=6座；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“工程验收合格率（%）”指标，预期指标值为=100%；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“每公里渠道建设成本（万元）”指标，预期指标值为＜=65万元；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“是否有效增加灌溉面积”指标，预期指标值为是；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“受益群众满意度（%）”指标，预期指标值为＞=90%。</w:t>
      </w:r>
    </w:p>
    <w:p w14:paraId="43F1508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01774CCE">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720C42A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此次我单位根据《财政支出绩效评价管理暂行办法》（财预〔2020〕10号）文件要求对2024年度我单位实施的新疆玛纳斯河生态补水渠系设施建设项目开展部门绩效评价。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233BCF04">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6837A9B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新疆玛纳斯河生态补水渠系设施建设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新疆玛纳斯河生态补水渠系设施建设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4E5209CB">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1F4CB17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吴宝伟处长任评价组组长，绩效评价工作职责为检查项目绩效指标完成情况，审定项目支出绩效评价结果及项目支出绩效评价报告。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王艳荣股长任评价组副组长，绩效评价工作职责为组织和协调项目工作人员采取实地调查、资料检查等方式，核实项目绩效指标完成情况；组织受益对象对项目工作进行评价等。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王艳荣、刘思瑞、李威任评价组成员，绩效评价工作职责为做好项目支出绩效评价工作的沟通协调工作，对项目实施情况进行实地调查，编写项目支出绩效评价报告。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新疆玛纳斯河生态补水渠系设施建设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36F5440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3B2D881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此次绩效评价通过组论证的评价指标体系及评分标准，采用的方法比较法、因素分析法、公众评判法，对新疆玛纳斯河生态补水渠系设施建设项目绩效进行客观评价，最终评分结果：总分为</w:t>
      </w:r>
      <w:r>
        <w:rPr>
          <w:rStyle w:val="18"/>
          <w:rFonts w:hint="eastAsia" w:ascii="楷体" w:hAnsi="楷体" w:eastAsia="楷体"/>
          <w:b w:val="0"/>
          <w:bCs w:val="0"/>
          <w:spacing w:val="-4"/>
          <w:sz w:val="32"/>
          <w:szCs w:val="32"/>
          <w:lang w:val="en-US" w:eastAsia="zh-CN"/>
        </w:rPr>
        <w:t>96.10</w:t>
      </w:r>
      <w:r>
        <w:rPr>
          <w:rStyle w:val="18"/>
          <w:rFonts w:hint="eastAsia" w:ascii="楷体" w:hAnsi="楷体" w:eastAsia="楷体"/>
          <w:b w:val="0"/>
          <w:bCs w:val="0"/>
          <w:spacing w:val="-4"/>
          <w:sz w:val="32"/>
          <w:szCs w:val="32"/>
        </w:rPr>
        <w:t>分，绩效评级为“优秀”。各部分权重和绩效汇总分值如下表3-1所示（详见上传的附件）：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表3-1：新疆玛纳斯河生态补水渠系设施建设项目得分表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14:paraId="056D6887">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4955F59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6375F2F">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①项目立项符合《关于对&lt;新疆玛纳斯河生态补水渠系设施建设项目实施方案&gt;的批复》（玛水函〔2023〕7号）、《关于下达2023年昌吉州本级水利项目专项资金的通知》（昌州财农〔2023〕41号）和相关政策；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③事前经过必要的专家论证、风险评估、集体决策。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①项目设有绩效目标；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2B42981A">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48B56FD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1.资金到位率（算出到位率×4=得分，算出后删除批注）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资金到位率=（200/200）×100%×4=4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预算执行率=（200/200）×100%×4=4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21CE0DD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4DDC744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项目产出类指标由4个二级指标和5个三级指标构成，权重分30分，实际得分30分，各指标业绩值和绩效分值如表4-3所示（详见上传的附件）：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改造渠道长度（公里）</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＞=3.22公里</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3.22公里</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更新改造附属设施（座）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工程验收合格率（%）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每公里渠道建设成本（万元）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＜=65万元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=59.94万元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“改造渠道长度（公里）”指标，预期指标值为＞=3.22公里，实际完成为3.22公里。实际完成率=（3.22/3.22）×100%=100%。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“更新改造附属设施（座）”指标，预期指标值为＞=6座，实际完成为6座。实际完成率=（6/6）×100%=100%。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“工程验收合格率（%）”指标，预期指标值为100%，实际完成为100%。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“资金到位及时率（%）”指标，预期指标值为100%，实际完成为100%。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“每公里渠道建设成本（万元）”指标，预期指标值为＜=65万元，实际完成为=59.94万元。实际完成率=（59.94/65）×100%=92.21%。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p>
    <w:p w14:paraId="5B6748D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62487D4">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项目产出类指标由2个二级指标和2个三级指标构成，权重分30分，实际得分30分，各指标业绩值和绩效分值如表4-4所示（详见上传的附件）：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是否有效增加灌溉面积</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是</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达到预期指标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受益群众满意度（%）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“是否有效增加灌溉面积”指标，预期指标值为是，实际完成为达到预期指标。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有效解决了青年渠过流能力问题，在满足农田灌溉的同时，用于生态输水；解决了原渠道输水困难，易雍水翻水、过流能力不足问题；并通过该渠道合理可控引水，保证了玛纳斯河引水要求。通过提高水体流动性，加大了水环境容量和自净能力，增强了水环境改善效果；保证了玛纳斯河河道下泄流量，改善了河道及流域的水生态环境；进一步全面改善和提升了玛纳斯县的城市功能，改善了玛纳斯县城市生态和玛纳斯河沿岸人民居住环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“受益群众满意度（%）”指标，预期指标值为＞=90%，实际完成为100%。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14:paraId="2E0C218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“受益群众满意度（%）”指标，预期指标值为＞=90%，实际完成为100%。</w:t>
      </w:r>
    </w:p>
    <w:p w14:paraId="3D8CF0AD">
      <w:pPr>
        <w:spacing w:line="540" w:lineRule="exact"/>
        <w:ind w:firstLine="567"/>
        <w:rPr>
          <w:rStyle w:val="18"/>
          <w:rFonts w:hint="eastAsia" w:ascii="楷体" w:hAnsi="楷体" w:eastAsia="楷体"/>
          <w:b w:val="0"/>
          <w:bCs w:val="0"/>
          <w:spacing w:val="-4"/>
          <w:sz w:val="32"/>
          <w:szCs w:val="32"/>
        </w:rPr>
      </w:pPr>
    </w:p>
    <w:p w14:paraId="32658302">
      <w:pPr>
        <w:spacing w:line="540" w:lineRule="exact"/>
        <w:ind w:firstLine="567"/>
        <w:rPr>
          <w:rStyle w:val="18"/>
          <w:rFonts w:ascii="楷体" w:hAnsi="楷体" w:eastAsia="楷体"/>
          <w:spacing w:val="-4"/>
          <w:sz w:val="32"/>
          <w:szCs w:val="32"/>
        </w:rPr>
      </w:pPr>
    </w:p>
    <w:p w14:paraId="6B33BC1E">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0AC86472">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新疆玛纳斯河生态补水渠系设施建设项目2024年预算数为200万元，截至2024年12月31日共支出200万元，预算执行率为100%。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玛纳斯河水利管理处建立健全了预算管理规章制度，各部门严格按预算编制的原则和要求做好当年预算编制工作，在预算绩效管理工作中，做到合理安排各项资金，重点保障基本支出，按轻重缓急顺序原则，优先安排了玛管处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42818AB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2980C62C">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3.高度重视，加强领导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4820251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14D5BDB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33E1A063">
      <w:pPr>
        <w:spacing w:line="540" w:lineRule="exact"/>
        <w:ind w:firstLine="567"/>
        <w:rPr>
          <w:rStyle w:val="18"/>
          <w:rFonts w:ascii="仿宋" w:hAnsi="仿宋" w:eastAsia="仿宋"/>
          <w:b w:val="0"/>
          <w:spacing w:val="-4"/>
          <w:sz w:val="32"/>
          <w:szCs w:val="32"/>
        </w:rPr>
      </w:pPr>
    </w:p>
    <w:p w14:paraId="268EEBE3">
      <w:pPr>
        <w:spacing w:line="540" w:lineRule="exact"/>
        <w:ind w:firstLine="567"/>
        <w:rPr>
          <w:rStyle w:val="18"/>
          <w:rFonts w:ascii="仿宋" w:hAnsi="仿宋" w:eastAsia="仿宋"/>
          <w:b w:val="0"/>
          <w:spacing w:val="-4"/>
          <w:sz w:val="32"/>
          <w:szCs w:val="32"/>
        </w:rPr>
      </w:pPr>
    </w:p>
    <w:p w14:paraId="67EE9735">
      <w:pPr>
        <w:spacing w:line="540" w:lineRule="exact"/>
        <w:ind w:firstLine="567"/>
        <w:rPr>
          <w:rStyle w:val="18"/>
          <w:rFonts w:ascii="仿宋" w:hAnsi="仿宋" w:eastAsia="仿宋"/>
          <w:b w:val="0"/>
          <w:spacing w:val="-4"/>
          <w:sz w:val="32"/>
          <w:szCs w:val="32"/>
        </w:rPr>
      </w:pPr>
    </w:p>
    <w:p w14:paraId="5A27B4B6">
      <w:pPr>
        <w:spacing w:line="540" w:lineRule="exact"/>
        <w:ind w:firstLine="567"/>
        <w:rPr>
          <w:rStyle w:val="18"/>
          <w:rFonts w:ascii="仿宋" w:hAnsi="仿宋" w:eastAsia="仿宋"/>
          <w:b w:val="0"/>
          <w:spacing w:val="-4"/>
          <w:sz w:val="32"/>
          <w:szCs w:val="32"/>
        </w:rPr>
      </w:pPr>
    </w:p>
    <w:p w14:paraId="11B08A03">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3B341B1">
        <w:pPr>
          <w:pStyle w:val="12"/>
          <w:jc w:val="center"/>
        </w:pPr>
        <w:r>
          <w:fldChar w:fldCharType="begin"/>
        </w:r>
        <w:r>
          <w:instrText xml:space="preserve">PAGE   \* MERGEFORMAT</w:instrText>
        </w:r>
        <w:r>
          <w:fldChar w:fldCharType="separate"/>
        </w:r>
        <w:r>
          <w:rPr>
            <w:lang w:val="zh-CN"/>
          </w:rPr>
          <w:t>2</w:t>
        </w:r>
        <w:r>
          <w:fldChar w:fldCharType="end"/>
        </w:r>
      </w:p>
    </w:sdtContent>
  </w:sdt>
  <w:p w14:paraId="3BCC5663">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4757598"/>
    <w:rsid w:val="15392994"/>
    <w:rsid w:val="18FE139B"/>
    <w:rsid w:val="3029612C"/>
    <w:rsid w:val="32A221C5"/>
    <w:rsid w:val="33F20F2A"/>
    <w:rsid w:val="34C44675"/>
    <w:rsid w:val="3B5B5607"/>
    <w:rsid w:val="3CE21B3C"/>
    <w:rsid w:val="3D3C3444"/>
    <w:rsid w:val="46AD611F"/>
    <w:rsid w:val="4D2606A1"/>
    <w:rsid w:val="51830480"/>
    <w:rsid w:val="53A616BE"/>
    <w:rsid w:val="54662BFB"/>
    <w:rsid w:val="62051CA5"/>
    <w:rsid w:val="69F855E1"/>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7005</Words>
  <Characters>7404</Characters>
  <Lines>4</Lines>
  <Paragraphs>1</Paragraphs>
  <TotalTime>10</TotalTime>
  <ScaleCrop>false</ScaleCrop>
  <LinksUpToDate>false</LinksUpToDate>
  <CharactersWithSpaces>7584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2025-08-11T11:45:05Z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