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2896AF">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0596CEE4">
      <w:pPr>
        <w:spacing w:line="540" w:lineRule="exact"/>
        <w:jc w:val="center"/>
        <w:rPr>
          <w:rFonts w:ascii="华文中宋" w:hAnsi="华文中宋" w:eastAsia="华文中宋" w:cs="宋体"/>
          <w:b/>
          <w:kern w:val="0"/>
          <w:sz w:val="52"/>
          <w:szCs w:val="52"/>
        </w:rPr>
      </w:pPr>
    </w:p>
    <w:p w14:paraId="62412686">
      <w:pPr>
        <w:spacing w:line="540" w:lineRule="exact"/>
        <w:jc w:val="center"/>
        <w:rPr>
          <w:rFonts w:ascii="华文中宋" w:hAnsi="华文中宋" w:eastAsia="华文中宋" w:cs="宋体"/>
          <w:b/>
          <w:kern w:val="0"/>
          <w:sz w:val="52"/>
          <w:szCs w:val="52"/>
        </w:rPr>
      </w:pPr>
    </w:p>
    <w:p w14:paraId="09079F6F">
      <w:pPr>
        <w:spacing w:line="540" w:lineRule="exact"/>
        <w:jc w:val="center"/>
        <w:rPr>
          <w:rFonts w:ascii="华文中宋" w:hAnsi="华文中宋" w:eastAsia="华文中宋" w:cs="宋体"/>
          <w:b/>
          <w:kern w:val="0"/>
          <w:sz w:val="52"/>
          <w:szCs w:val="52"/>
        </w:rPr>
      </w:pPr>
    </w:p>
    <w:p w14:paraId="447537C9">
      <w:pPr>
        <w:spacing w:line="540" w:lineRule="exact"/>
        <w:jc w:val="center"/>
        <w:rPr>
          <w:rFonts w:ascii="华文中宋" w:hAnsi="华文中宋" w:eastAsia="华文中宋" w:cs="宋体"/>
          <w:b/>
          <w:kern w:val="0"/>
          <w:sz w:val="52"/>
          <w:szCs w:val="52"/>
        </w:rPr>
      </w:pPr>
    </w:p>
    <w:p w14:paraId="790C0BBE">
      <w:pPr>
        <w:spacing w:line="540" w:lineRule="exact"/>
        <w:jc w:val="center"/>
        <w:rPr>
          <w:rFonts w:ascii="华文中宋" w:hAnsi="华文中宋" w:eastAsia="华文中宋" w:cs="宋体"/>
          <w:b/>
          <w:kern w:val="0"/>
          <w:sz w:val="52"/>
          <w:szCs w:val="52"/>
        </w:rPr>
      </w:pPr>
    </w:p>
    <w:p w14:paraId="2279C3D2">
      <w:pPr>
        <w:spacing w:line="540" w:lineRule="exact"/>
        <w:jc w:val="center"/>
        <w:rPr>
          <w:rFonts w:ascii="华文中宋" w:hAnsi="华文中宋" w:eastAsia="华文中宋" w:cs="宋体"/>
          <w:b/>
          <w:kern w:val="0"/>
          <w:sz w:val="52"/>
          <w:szCs w:val="52"/>
        </w:rPr>
      </w:pPr>
    </w:p>
    <w:p w14:paraId="090F3FFE">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35366CB7">
      <w:pPr>
        <w:spacing w:line="540" w:lineRule="exact"/>
        <w:jc w:val="center"/>
        <w:rPr>
          <w:rFonts w:ascii="华文中宋" w:hAnsi="华文中宋" w:eastAsia="华文中宋" w:cs="宋体"/>
          <w:b/>
          <w:kern w:val="0"/>
          <w:sz w:val="52"/>
          <w:szCs w:val="52"/>
        </w:rPr>
      </w:pPr>
    </w:p>
    <w:p w14:paraId="273FDCE3">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68A8CCCB">
      <w:pPr>
        <w:spacing w:line="540" w:lineRule="exact"/>
        <w:jc w:val="center"/>
        <w:rPr>
          <w:rFonts w:hAnsi="宋体" w:eastAsia="仿宋_GB2312" w:cs="宋体"/>
          <w:kern w:val="0"/>
          <w:sz w:val="30"/>
          <w:szCs w:val="30"/>
        </w:rPr>
      </w:pPr>
    </w:p>
    <w:p w14:paraId="6D7C7C23">
      <w:pPr>
        <w:spacing w:line="540" w:lineRule="exact"/>
        <w:jc w:val="center"/>
        <w:rPr>
          <w:rFonts w:hAnsi="宋体" w:eastAsia="仿宋_GB2312" w:cs="宋体"/>
          <w:kern w:val="0"/>
          <w:sz w:val="30"/>
          <w:szCs w:val="30"/>
        </w:rPr>
      </w:pPr>
    </w:p>
    <w:p w14:paraId="75AF7AA9">
      <w:pPr>
        <w:spacing w:line="540" w:lineRule="exact"/>
        <w:jc w:val="center"/>
        <w:rPr>
          <w:rFonts w:hAnsi="宋体" w:eastAsia="仿宋_GB2312" w:cs="宋体"/>
          <w:kern w:val="0"/>
          <w:sz w:val="30"/>
          <w:szCs w:val="30"/>
        </w:rPr>
      </w:pPr>
    </w:p>
    <w:p w14:paraId="49852D72">
      <w:pPr>
        <w:spacing w:line="540" w:lineRule="exact"/>
        <w:jc w:val="center"/>
        <w:rPr>
          <w:rFonts w:hAnsi="宋体" w:eastAsia="仿宋_GB2312" w:cs="宋体"/>
          <w:kern w:val="0"/>
          <w:sz w:val="30"/>
          <w:szCs w:val="30"/>
        </w:rPr>
      </w:pPr>
    </w:p>
    <w:p w14:paraId="7A03B103">
      <w:pPr>
        <w:spacing w:line="540" w:lineRule="exact"/>
        <w:jc w:val="center"/>
        <w:rPr>
          <w:rFonts w:hAnsi="宋体" w:eastAsia="仿宋_GB2312" w:cs="宋体"/>
          <w:kern w:val="0"/>
          <w:sz w:val="30"/>
          <w:szCs w:val="30"/>
        </w:rPr>
      </w:pPr>
    </w:p>
    <w:p w14:paraId="35E55A6A">
      <w:pPr>
        <w:spacing w:line="540" w:lineRule="exact"/>
        <w:jc w:val="center"/>
        <w:rPr>
          <w:rFonts w:hAnsi="宋体" w:eastAsia="仿宋_GB2312" w:cs="宋体"/>
          <w:kern w:val="0"/>
          <w:sz w:val="30"/>
          <w:szCs w:val="30"/>
        </w:rPr>
      </w:pPr>
    </w:p>
    <w:p w14:paraId="3CDCBCD9">
      <w:pPr>
        <w:spacing w:line="540" w:lineRule="exact"/>
        <w:rPr>
          <w:rFonts w:hAnsi="宋体" w:eastAsia="仿宋_GB2312" w:cs="宋体"/>
          <w:kern w:val="0"/>
          <w:sz w:val="30"/>
          <w:szCs w:val="30"/>
        </w:rPr>
      </w:pPr>
    </w:p>
    <w:p w14:paraId="0EC6770A">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CE43664">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玛纳斯县住房和城乡建设局-2024年度园林绿化管护费</w:t>
      </w:r>
    </w:p>
    <w:p w14:paraId="44429B8A">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玛纳斯县住房和城乡建设局</w:t>
      </w:r>
    </w:p>
    <w:p w14:paraId="7DE16F34">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玛纳斯县住房和城乡建设局</w:t>
      </w:r>
    </w:p>
    <w:p w14:paraId="495614E7">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王新钢</w:t>
      </w:r>
    </w:p>
    <w:p w14:paraId="4EC229BC">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2025年03月14日</w:t>
      </w:r>
    </w:p>
    <w:p w14:paraId="77064FAC">
      <w:pPr>
        <w:spacing w:line="540" w:lineRule="exact"/>
        <w:rPr>
          <w:rStyle w:val="18"/>
          <w:rFonts w:ascii="黑体" w:hAnsi="黑体" w:eastAsia="黑体"/>
          <w:b w:val="0"/>
          <w:spacing w:val="-4"/>
          <w:sz w:val="32"/>
          <w:szCs w:val="32"/>
        </w:rPr>
      </w:pPr>
    </w:p>
    <w:p w14:paraId="1A70498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25CE0445">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63AF2A2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随着城市化进程的加快，城市需要通过园林绿化来美化环境，打造独特的城市景观，改善城市生态环境，为居民提供更健康的生活空间。人们对生活环境的品质要求日益提高，园林绿化管护能为居民提供更多优质的公共绿色空间，如公园、广场、街头绿地等，满足居民休闲、娱乐、健身等需求，提升居民的幸福感和归属感。为持续做好全县园林绿地养护管理工作，巩固国家园林县城创建成果，提升玛纳斯县城区园林绿化景观效果，提高园林绿化养护质量，促进玛纳斯县绿地养护达到“精细化”管理的要求，规范政府购买服务程序，我单位重新拟定了下一期园林绿化养护工作方案，对养护面积、养护标准等内容进行了进一步核准。本项目根据玛纳斯县人民政府《玛纳斯县政府投资类项目审核表》（玛纳斯县玛纳斯县城区绿地养护购买服务项目）审核批准实施。本项目根据玛纳斯县人民政府审核批准实施。  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绿地养护购买服务绿化面积共5095617.1平方米（7643亩），按照水系分布和养护管理情况，以光明路和s115线为界分为两个标段，其中光明路西侧及s115线以北为第一标段，绿化面积为2626585.5平方米，光明路东侧及s115线全线绿化带为第二标段，绿化面积为2469031.6平方米，养护期为三年。 主要管理内容： ⑴ 绿地养护服务：公共绿化的养护和管理，包括绿化带平整、松土、施肥、浇灌、管网排水、除草、扶正涂白、死株清理、缺株补植、植物修剪、病虫害监测和防治、花坛化境养护、植物防护（防寒、旱、涝、风、高温）等绿地养护；绿地保洁、水体保洁及清淤、各公园广场保洁及垃圾清运和冬季清雪等环境卫生管理；节假日绿化景观打造、养护及更换；公共场所的绿化布置和宣传氛围营造（横幅、宣传牌、电子屏、喇叭等），提升公共区域整体环境品质。 ⑵设施维护服务：园林建筑（厕所、廊亭）、园林小品（园灯、导游牌、宣传牌、果皮箱、园桌椅、栏杆等）、公共健身场地及设施（篮球场、门球场、网球场及健身器材）、园路及铺装场地、电器设备（广播音响、景观照明、配电设施、监控设施、喷泉、供电线路等）、水系管网及水源井的保护与维修、井盖和标牌等园林设施维护，主要是指设施的日常维修保养（含保洁），保持设施的完整和正常运行所进行的预防性保养和损坏部分的修补和更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组织实施：为确保该项目顺利实施，本单位成立了领导小组如下：组长：王新钢园林局局长 副组长：唐菊莲 办公室主任 成员：孙万霞 项目负责人，由孙万霞负责项目的具体实施，其他成员配合好项目的监督审核工作，本单位将项目的预算纳入全过程绩效管理，为加快财政预算支出进度和强化绩效理念，我单位成立了绩效管理领导小组如下：组长：王新钢 园林局局长 副组长：唐菊莲 办公室主任 成员：孙万霞 项目负责人 绩效工作负责人分工：组长王新钢 主抓绩效总体工作，副组长唐菊莲对绩效管理工作及项目实施情况进行具体安排，成员孙万霞具体对各绩效管理及项目实施情况进行具体实施。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2024年度-园林绿化管护费预算安排总额为1575.32万元，其中财政资金1575.32万元，其他资金0万元，2024年实际收到预算资金1575.32万元，预算资金到位率为100%。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截止2024年12月31日，2024年度-园林绿化管护费项目实际支付资金1550.</w:t>
      </w:r>
      <w:r>
        <w:rPr>
          <w:rStyle w:val="18"/>
          <w:rFonts w:hint="eastAsia" w:ascii="楷体" w:hAnsi="楷体" w:eastAsia="楷体"/>
          <w:b w:val="0"/>
          <w:bCs w:val="0"/>
          <w:spacing w:val="-4"/>
          <w:sz w:val="32"/>
          <w:szCs w:val="32"/>
          <w:lang w:val="en-US" w:eastAsia="zh-CN"/>
        </w:rPr>
        <w:t>76</w:t>
      </w:r>
      <w:r>
        <w:rPr>
          <w:rStyle w:val="18"/>
          <w:rFonts w:hint="eastAsia" w:ascii="楷体" w:hAnsi="楷体" w:eastAsia="楷体"/>
          <w:b w:val="0"/>
          <w:bCs w:val="0"/>
          <w:spacing w:val="-4"/>
          <w:sz w:val="32"/>
          <w:szCs w:val="32"/>
        </w:rPr>
        <w:t>万元，预算执行率98.44%。结转结余资金</w:t>
      </w:r>
      <w:r>
        <w:rPr>
          <w:rStyle w:val="18"/>
          <w:rFonts w:hint="eastAsia" w:ascii="楷体" w:hAnsi="楷体" w:eastAsia="楷体"/>
          <w:b w:val="0"/>
          <w:bCs w:val="0"/>
          <w:spacing w:val="-4"/>
          <w:sz w:val="32"/>
          <w:szCs w:val="32"/>
          <w:lang w:val="en-US" w:eastAsia="zh-CN"/>
        </w:rPr>
        <w:t>24.56</w:t>
      </w:r>
      <w:r>
        <w:rPr>
          <w:rStyle w:val="18"/>
          <w:rFonts w:hint="eastAsia" w:ascii="楷体" w:hAnsi="楷体" w:eastAsia="楷体"/>
          <w:b w:val="0"/>
          <w:bCs w:val="0"/>
          <w:spacing w:val="-4"/>
          <w:sz w:val="32"/>
          <w:szCs w:val="32"/>
        </w:rPr>
        <w:t>万元，已上缴国库。项目资金主要用于支付第三方公司提供的绿地养护服务费。</w:t>
      </w:r>
    </w:p>
    <w:p w14:paraId="6C917C07">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11E499A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度-园林绿化管护费绩效总体目标为：本项目拟投入项目预算1575.32万元，主要建设内容为：绿地养护购买服务绿化面积共5095617.1平方米（7643亩），按照水系分布和养护管理情况，以光明路和s115线为界分为两个标段，其中光明路西侧及s115线以北为第一标段，绿化面积为2626585.5平方米，光明路东侧及s115线全线绿化带为第二标段，绿化面积为2469031.6平方米，养护期为三年。苗木成活率达到95%以上，管护及时性达到90%以上。南城绿化养护成本926万元，北城绿化养护成本649万元，通过本项目的实施，满足群众的需求，改善城市绿化环境，改善人居环境，使群众满意度达到90%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“绿化管护面积”指标，预期指标值为&gt;=5095617平方米；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“苗木成活率”指标，预期指标值为&gt;=95%；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“管护及时性”指标，预期指标值为&gt;=90%；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“南城绿化养护成本”指标，预期指标值为&lt;=926万元；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“北城绿化养护成本”指标，预期指标值为&lt;=649万元；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“改善绿化城市环境”指标，预期指标值为有效改善；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“改善人居环境”指标，预期指标值为有效改善；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“群众满意率”指标，预期指标值为&gt;=90%。</w:t>
      </w:r>
    </w:p>
    <w:p w14:paraId="0ECE497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999ECAD">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7ADF4A2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此次我单位根据《财政支出绩效评价管理暂行办法》（财预〔2020〕10号）文件要求对2024年度我单位实施的2024年度-园林绿化管护费开展部门绩效评价。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5EA5B4DF">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13CB8D2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2024年度-园林绿化管护费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本次绩效评价采用的方法比较法、因素分析法、公众评判法对项目绩效目标预期指标值与实施情况进行比较，以及采取公众问卷及抽样调查等方式进行评判的方法对2024年度-园林绿化管护费进行评价。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33E5C9BD">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5CD9488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2024年度-园林绿化管护费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2C33A4A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480CA07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此次绩效评价通过组论证的评价指标体系及评分标准，采用的方法比较法、因素分析法、公众评判法，对2024年度园林绿化管护费绩效进行客观评价，最终评分结果：总分为99.</w:t>
      </w:r>
      <w:r>
        <w:rPr>
          <w:rStyle w:val="18"/>
          <w:rFonts w:hint="eastAsia" w:ascii="楷体" w:hAnsi="楷体" w:eastAsia="楷体"/>
          <w:b w:val="0"/>
          <w:bCs w:val="0"/>
          <w:spacing w:val="-4"/>
          <w:sz w:val="32"/>
          <w:szCs w:val="32"/>
          <w:lang w:val="en-US" w:eastAsia="zh-CN"/>
        </w:rPr>
        <w:t>8</w:t>
      </w:r>
      <w:r>
        <w:rPr>
          <w:rStyle w:val="18"/>
          <w:rFonts w:hint="eastAsia" w:ascii="楷体" w:hAnsi="楷体" w:eastAsia="楷体"/>
          <w:b w:val="0"/>
          <w:bCs w:val="0"/>
          <w:spacing w:val="-4"/>
          <w:sz w:val="32"/>
          <w:szCs w:val="32"/>
        </w:rPr>
        <w:t>4分，绩效评级为“优秀”。各部分权重和绩效汇总分值如下表3-1所示（详见上传的附件）：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表3-1：2024年度园林绿化管护费得分表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19.94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99.94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99.7%</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99.94%</w:t>
      </w:r>
    </w:p>
    <w:p w14:paraId="0CE44FFE">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2E0B91B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8865BAA">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①项目立项符合国家法律法规、国民经济发展规划和相关政策。本项目根据玛纳斯县人民政府《玛纳斯县政府投资类项目审核表》（玛纳斯县玛纳斯县城区绿地养护购买服务项目）审核批准立项实施；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③该项目事前经过必要的集体决策。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3C21E689">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5AD6DE7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项目过程管理类指标由2个二级指标和5个三级指标构成，权重分20分，实际得分19.94分，各指标业绩值和绩效分值如表4-2所示（详见上传的附件）：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3.94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19.94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资金到位率=（1575.32万元/1575.32）×100%=100%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预算执行率=（1,550.76万元/1575.32）×100%=98.44%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综上，该项指标满分4分，得分3.94分。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①已制定《玛纳斯县住房和城乡建设局内控管理制度》、《玛纳斯县住房和城乡建设局财务管理制度》；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5682370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1C16A04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项目产出类指标由3个二级指标和3个三级指标构成，权重分30分，实际得分30分，各指标业绩值和绩效分值如表4-3所示（详见上传的附件）：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绿化管护面积</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&gt;=5095617平方米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=5095617平方米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苗木成活率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管护及时性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南城绿化养护成本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&lt;=926万元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910.94万元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北城绿化养护成本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&lt;=649万元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639.82万元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“绿化管护面积”指标，预期指标值为&gt;=5095617平方米，实际完成为&gt;=5095617平方米。实际完成率=（5095617/5095617）×100%=100%。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“苗木成活率”指标，预期指标值为&gt;=95%，实际完成为&gt;=95%。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“管护及时性”指标，预期指标值为&gt;=90%，实际完成为&gt;=90%。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“南城绿化养护成本”指标，预期指标值为&lt;=926万元，实际完成为=910.94万元，小于设定成本指标。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“北城绿化养护成本”指标，预期指标值为&lt;=649万元，实际完成为=639.82万元，小于设定成本指标。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综上，该项指标满分12分，得分12分。</w:t>
      </w:r>
    </w:p>
    <w:p w14:paraId="3914617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2BE9D461">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项目效益类指标由3个二级指标和3个三级指标构成，权重分30分，实际得分30分，各指标业绩值和绩效分值如表4-4所示（详见上传的附件）：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改善绿化城市环境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有效改善</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有效改善</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生态效益指标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改善人居环境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有效改善</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有效改善</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群众满意率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“改善绿化城市环境”指标，预期指标值为有效改善，实际完成为100%。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及时浇水确保植物在干旱时水分供应充足，避免因缺水导致生长不良甚至死亡；适时施肥能满足植物不同生长阶段的养分需求；及时修剪可以控制植物生长方向和形态，促进新梢萌发，提升景观效果，有效改善绿化城市环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“改善人居环境”指标，预期指标值为有效改善，实际完成为100%。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通过项目的实施，根据县城区不同植物习性，定期浇水、施肥；对乔灌木进行修剪；对公园、绿地及广场进行日常巡查；病虫害防治；绿地维护等事项有效改善人居环境。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4.可持续影响指标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改善绿化城市环境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有效改善</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有效改善</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生态效益指标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改善人居环境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有效改善</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有效改善</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群众满意率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“改善绿化城市环境”指标，预期指标值为有效改善，实际完成为100%。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通过项目的实施，有效改善绿化城市环境。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“改善人居环境”指标，预期指标值为有效改善，实际完成为100%。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通过项目的实施，有效改善人居环境。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4.可持续影响指标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本项目无经济效益指标。</w:t>
      </w:r>
    </w:p>
    <w:p w14:paraId="6191F1E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5.满意度指标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“群众满意率”指标，预期指标值为&gt;=90%，实际完成为=100%。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7D6E3B1A">
      <w:pPr>
        <w:spacing w:line="540" w:lineRule="exact"/>
        <w:ind w:firstLine="567"/>
        <w:rPr>
          <w:rStyle w:val="18"/>
          <w:rFonts w:hint="eastAsia" w:ascii="楷体" w:hAnsi="楷体" w:eastAsia="楷体"/>
          <w:b w:val="0"/>
          <w:bCs w:val="0"/>
          <w:spacing w:val="-4"/>
          <w:sz w:val="32"/>
          <w:szCs w:val="32"/>
        </w:rPr>
      </w:pPr>
    </w:p>
    <w:p w14:paraId="38ABB08C">
      <w:pPr>
        <w:spacing w:line="540" w:lineRule="exact"/>
        <w:ind w:firstLine="567"/>
        <w:rPr>
          <w:rStyle w:val="18"/>
          <w:rFonts w:ascii="楷体" w:hAnsi="楷体" w:eastAsia="楷体"/>
          <w:spacing w:val="-4"/>
          <w:sz w:val="32"/>
          <w:szCs w:val="32"/>
        </w:rPr>
      </w:pPr>
    </w:p>
    <w:p w14:paraId="1AB8B899">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353BBC49">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2024年度-园林绿化管护费2024年预算数为1575.32万元，截至2024年12月31日共支出1,550.76万元，预算执行率为98.44%。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城是管理综合服务中心建立健全了预算管理规章制度，各部门严格按预算编制的原则和要求做好当年预算编制工作，在预算绩效管理工作中，做到合理安排各项资金，重点保障基本支出，按轻重缓急顺序原则，优先安排了玛纳斯县城是管理综合服务中心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 部门绩效管理理念尚未牢固树立，绩效管理专业人员匮乏。 单位对全面实施绩效管理认识不够，绩效水平不高，单位内部 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2.绩效档案归档工作有待提高 一是对档案工作重视程度不高，意识淡薄。单位人员对绩 效档案管理工作重视程度不够，不注重关键时间节点材料的鉴 定归档，造成绩效管理工作档案缺失。二是单位人员对档案管 理工作缺少针对性和目的性，对绩效档案工作重要性的认识不 足，缺乏熟练的业务知识，使绩效档案管理与实际业务存在一 定偏差，未发挥其综合价值。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3.项目支出绩效评价存在局限，客观性有待加强 项目支出绩效评价工作还存在自我审定的局限性，项目支 出绩效工作有较大弹性，评价报告多局限于描述项目实施情况， 对问题避重就轻，对项目的打分松紧不一，会影响评价质量， 在客观性和公正性上说服力不强。</w:t>
      </w:r>
    </w:p>
    <w:p w14:paraId="2F77040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3037084F">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 xml:space="preserve">1.加强培训，提高相关人员工作水平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采取多种培训形式对单位财务人员、业务科室人员进行集 4 中培训，进一步树牢绩效观念，提高本单位工作人员的绩效管 理能力和工作水平，为预算绩效管理相关工作的顺利开展提供保障。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2.扎实推进档案规范化建设，提升档案管理水平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一是进一步完善项目评价资料。项目启动时同步做好档案 的归纳与整理，及时整理、收集、汇总，健全档案资料。二是严格落实自治区关于绩效管理工作档案资料归档的相关要求， 强化收集力度，确保归档资料的完整齐全。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3.高度重视，加强领导 高度重视，加强领导，精心组织。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项目绩效领导小组对绩 效评价工作进行指导、监督、检查，确保项目绩效评价反映项目完成真实情况。严格执行项目绩效评价工作要求，切实提高项目绩效报告的客观性和公正性。</w:t>
      </w:r>
    </w:p>
    <w:p w14:paraId="0EDC07F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51AA2D3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无其他需要说明的问题。</w:t>
      </w: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490B645">
        <w:pPr>
          <w:pStyle w:val="12"/>
          <w:jc w:val="center"/>
        </w:pPr>
        <w:r>
          <w:fldChar w:fldCharType="begin"/>
        </w:r>
        <w:r>
          <w:instrText xml:space="preserve">PAGE   \* MERGEFORMAT</w:instrText>
        </w:r>
        <w:r>
          <w:fldChar w:fldCharType="separate"/>
        </w:r>
        <w:r>
          <w:rPr>
            <w:lang w:val="zh-CN"/>
          </w:rPr>
          <w:t>2</w:t>
        </w:r>
        <w:r>
          <w:fldChar w:fldCharType="end"/>
        </w:r>
      </w:p>
    </w:sdtContent>
  </w:sdt>
  <w:p w14:paraId="7F33A1C4">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279C36A8"/>
    <w:rsid w:val="2FF1511A"/>
    <w:rsid w:val="3029612C"/>
    <w:rsid w:val="32A221C5"/>
    <w:rsid w:val="33F20F2A"/>
    <w:rsid w:val="34C44675"/>
    <w:rsid w:val="3B5B5607"/>
    <w:rsid w:val="3CE21B3C"/>
    <w:rsid w:val="46AD611F"/>
    <w:rsid w:val="4D2606A1"/>
    <w:rsid w:val="51830480"/>
    <w:rsid w:val="53A616BE"/>
    <w:rsid w:val="54662BFB"/>
    <w:rsid w:val="62051CA5"/>
    <w:rsid w:val="62824377"/>
    <w:rsid w:val="69E8541D"/>
    <w:rsid w:val="6C3A69EF"/>
    <w:rsid w:val="76DF6286"/>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7951</Words>
  <Characters>8570</Characters>
  <Lines>4</Lines>
  <Paragraphs>1</Paragraphs>
  <TotalTime>15</TotalTime>
  <ScaleCrop>false</ScaleCrop>
  <LinksUpToDate>false</LinksUpToDate>
  <CharactersWithSpaces>8826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2025-08-12T07:10:42Z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