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A189C3">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6AE9BD8F">
      <w:pPr>
        <w:spacing w:line="540" w:lineRule="exact"/>
        <w:jc w:val="center"/>
        <w:rPr>
          <w:rFonts w:ascii="华文中宋" w:hAnsi="华文中宋" w:eastAsia="华文中宋" w:cs="宋体"/>
          <w:b/>
          <w:kern w:val="0"/>
          <w:sz w:val="52"/>
          <w:szCs w:val="52"/>
        </w:rPr>
      </w:pPr>
    </w:p>
    <w:p w14:paraId="1A5F48DC">
      <w:pPr>
        <w:spacing w:line="540" w:lineRule="exact"/>
        <w:jc w:val="center"/>
        <w:rPr>
          <w:rFonts w:ascii="华文中宋" w:hAnsi="华文中宋" w:eastAsia="华文中宋" w:cs="宋体"/>
          <w:b/>
          <w:kern w:val="0"/>
          <w:sz w:val="52"/>
          <w:szCs w:val="52"/>
        </w:rPr>
      </w:pPr>
    </w:p>
    <w:p w14:paraId="3F77636E">
      <w:pPr>
        <w:spacing w:line="540" w:lineRule="exact"/>
        <w:jc w:val="center"/>
        <w:rPr>
          <w:rFonts w:ascii="华文中宋" w:hAnsi="华文中宋" w:eastAsia="华文中宋" w:cs="宋体"/>
          <w:b/>
          <w:kern w:val="0"/>
          <w:sz w:val="52"/>
          <w:szCs w:val="52"/>
        </w:rPr>
      </w:pPr>
    </w:p>
    <w:p w14:paraId="2D894A0B">
      <w:pPr>
        <w:spacing w:line="540" w:lineRule="exact"/>
        <w:jc w:val="center"/>
        <w:rPr>
          <w:rFonts w:ascii="华文中宋" w:hAnsi="华文中宋" w:eastAsia="华文中宋" w:cs="宋体"/>
          <w:b/>
          <w:kern w:val="0"/>
          <w:sz w:val="52"/>
          <w:szCs w:val="52"/>
        </w:rPr>
      </w:pPr>
    </w:p>
    <w:p w14:paraId="12FE20BF">
      <w:pPr>
        <w:spacing w:line="540" w:lineRule="exact"/>
        <w:jc w:val="center"/>
        <w:rPr>
          <w:rFonts w:ascii="华文中宋" w:hAnsi="华文中宋" w:eastAsia="华文中宋" w:cs="宋体"/>
          <w:b/>
          <w:kern w:val="0"/>
          <w:sz w:val="52"/>
          <w:szCs w:val="52"/>
        </w:rPr>
      </w:pPr>
    </w:p>
    <w:p w14:paraId="43716948">
      <w:pPr>
        <w:spacing w:line="540" w:lineRule="exact"/>
        <w:jc w:val="center"/>
        <w:rPr>
          <w:rFonts w:ascii="华文中宋" w:hAnsi="华文中宋" w:eastAsia="华文中宋" w:cs="宋体"/>
          <w:b/>
          <w:kern w:val="0"/>
          <w:sz w:val="52"/>
          <w:szCs w:val="52"/>
        </w:rPr>
      </w:pPr>
    </w:p>
    <w:p w14:paraId="7556F752">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6D86A102">
      <w:pPr>
        <w:spacing w:line="540" w:lineRule="exact"/>
        <w:jc w:val="center"/>
        <w:rPr>
          <w:rFonts w:ascii="华文中宋" w:hAnsi="华文中宋" w:eastAsia="华文中宋" w:cs="宋体"/>
          <w:b/>
          <w:kern w:val="0"/>
          <w:sz w:val="52"/>
          <w:szCs w:val="52"/>
        </w:rPr>
      </w:pPr>
    </w:p>
    <w:p w14:paraId="58FB48D6">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4C13A8DC">
      <w:pPr>
        <w:spacing w:line="540" w:lineRule="exact"/>
        <w:jc w:val="center"/>
        <w:rPr>
          <w:rFonts w:hAnsi="宋体" w:eastAsia="仿宋_GB2312" w:cs="宋体"/>
          <w:kern w:val="0"/>
          <w:sz w:val="30"/>
          <w:szCs w:val="30"/>
        </w:rPr>
      </w:pPr>
    </w:p>
    <w:p w14:paraId="00DC18E5">
      <w:pPr>
        <w:spacing w:line="540" w:lineRule="exact"/>
        <w:jc w:val="center"/>
        <w:rPr>
          <w:rFonts w:hAnsi="宋体" w:eastAsia="仿宋_GB2312" w:cs="宋体"/>
          <w:kern w:val="0"/>
          <w:sz w:val="30"/>
          <w:szCs w:val="30"/>
        </w:rPr>
      </w:pPr>
    </w:p>
    <w:p w14:paraId="26477317">
      <w:pPr>
        <w:spacing w:line="540" w:lineRule="exact"/>
        <w:jc w:val="center"/>
        <w:rPr>
          <w:rFonts w:hAnsi="宋体" w:eastAsia="仿宋_GB2312" w:cs="宋体"/>
          <w:kern w:val="0"/>
          <w:sz w:val="30"/>
          <w:szCs w:val="30"/>
        </w:rPr>
      </w:pPr>
    </w:p>
    <w:p w14:paraId="23F69B0F">
      <w:pPr>
        <w:spacing w:line="540" w:lineRule="exact"/>
        <w:jc w:val="center"/>
        <w:rPr>
          <w:rFonts w:hAnsi="宋体" w:eastAsia="仿宋_GB2312" w:cs="宋体"/>
          <w:kern w:val="0"/>
          <w:sz w:val="30"/>
          <w:szCs w:val="30"/>
        </w:rPr>
      </w:pPr>
    </w:p>
    <w:p w14:paraId="6AEB23A9">
      <w:pPr>
        <w:spacing w:line="540" w:lineRule="exact"/>
        <w:jc w:val="center"/>
        <w:rPr>
          <w:rFonts w:hAnsi="宋体" w:eastAsia="仿宋_GB2312" w:cs="宋体"/>
          <w:kern w:val="0"/>
          <w:sz w:val="30"/>
          <w:szCs w:val="30"/>
        </w:rPr>
      </w:pPr>
    </w:p>
    <w:p w14:paraId="03E32EEC">
      <w:pPr>
        <w:spacing w:line="540" w:lineRule="exact"/>
        <w:jc w:val="center"/>
        <w:rPr>
          <w:rFonts w:hAnsi="宋体" w:eastAsia="仿宋_GB2312" w:cs="宋体"/>
          <w:kern w:val="0"/>
          <w:sz w:val="30"/>
          <w:szCs w:val="30"/>
        </w:rPr>
      </w:pPr>
    </w:p>
    <w:p w14:paraId="50F958CC">
      <w:pPr>
        <w:spacing w:line="540" w:lineRule="exact"/>
        <w:rPr>
          <w:rFonts w:hAnsi="宋体" w:eastAsia="仿宋_GB2312" w:cs="宋体"/>
          <w:kern w:val="0"/>
          <w:sz w:val="30"/>
          <w:szCs w:val="30"/>
        </w:rPr>
      </w:pPr>
    </w:p>
    <w:p w14:paraId="4BAC527C">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45599D9F">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玛纳斯县住房和城乡建设局-2023中央财政城镇保障性安居工程</w:t>
      </w:r>
    </w:p>
    <w:p w14:paraId="5FCB0A46">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玛纳斯县住房和城乡建设局</w:t>
      </w:r>
    </w:p>
    <w:p w14:paraId="2BF64ACB">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玛纳斯县住房和城乡建设局</w:t>
      </w:r>
    </w:p>
    <w:p w14:paraId="1C66ADB7">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包成忠</w:t>
      </w:r>
    </w:p>
    <w:p w14:paraId="23AF6BDA">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2025年03月24日</w:t>
      </w:r>
    </w:p>
    <w:p w14:paraId="30A41228">
      <w:pPr>
        <w:spacing w:line="700" w:lineRule="exact"/>
        <w:ind w:firstLine="708" w:firstLineChars="236"/>
        <w:jc w:val="left"/>
        <w:rPr>
          <w:rFonts w:hAnsi="宋体" w:eastAsia="仿宋_GB2312" w:cs="宋体"/>
          <w:kern w:val="0"/>
          <w:sz w:val="30"/>
          <w:szCs w:val="30"/>
        </w:rPr>
      </w:pPr>
    </w:p>
    <w:p w14:paraId="3827CE62">
      <w:pPr>
        <w:spacing w:line="540" w:lineRule="exact"/>
        <w:rPr>
          <w:rStyle w:val="18"/>
          <w:rFonts w:ascii="黑体" w:hAnsi="黑体" w:eastAsia="黑体"/>
          <w:b w:val="0"/>
          <w:spacing w:val="-4"/>
          <w:sz w:val="32"/>
          <w:szCs w:val="32"/>
        </w:rPr>
      </w:pPr>
    </w:p>
    <w:p w14:paraId="0F9649C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2A3F2363">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66770A3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2020 年7 月20 日，国务院办公厅印发《关于全面推进城镇老旧小区改造工作的指导意见》，随后各地政府积极响应，把老旧小区改造工程建设放在首位。根据按照自治区发改委通知要求，根据《中央财政城镇保障性安居工程补助资金管理办法》(财综【2022】37 号）规定执行。新疆维吾尔自治区人民政府文件《关于自治区全面推进城镇老旧小区改造工作的指导意见》（新政发［2021]3 号）为了贯彻落实《国务院办公厅关于全面推进城镇老旧小区改造工作的指导意见》（国办发［2020]23 号）精神，全面推进自治区城镇老旧小区改造工作，结合实际提出指导意见。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主要内容：重点对辖区 61 个老旧小区院落进行综合提升改善，具体对建筑主体无外墙保温的楼体加装保温材料，实施楼体粉刷、屋面防水，对楼道进行粉刷，更换单元对讲门、楼梯扶手、单元入户吸顶灯，标识标牌等。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组织实施：本项目于 2024年4月开始实施，截止 2024年 12 月已完成竣工验收，通过本项目的建设，不仅是市政基础设施改造的最后一环的要求，也是经济发展和人民生活上的需要。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昌吉州玛纳斯县2023年中央财政城镇保障性安居工程项目预算安排总额为3435万元，其中全部为中央财政城镇保障性安居工程补助资金，其他资金0 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截止2024年12月31日，昌吉州玛纳斯县2023年中央财政城镇保障性安居工程项目实际支付资金2626.3</w:t>
      </w:r>
      <w:r>
        <w:rPr>
          <w:rStyle w:val="18"/>
          <w:rFonts w:hint="eastAsia" w:ascii="楷体" w:hAnsi="楷体" w:eastAsia="楷体"/>
          <w:b w:val="0"/>
          <w:bCs w:val="0"/>
          <w:spacing w:val="-4"/>
          <w:sz w:val="32"/>
          <w:szCs w:val="32"/>
          <w:lang w:val="en-US" w:eastAsia="zh-CN"/>
        </w:rPr>
        <w:t>3</w:t>
      </w:r>
      <w:r>
        <w:rPr>
          <w:rStyle w:val="18"/>
          <w:rFonts w:hint="eastAsia" w:ascii="楷体" w:hAnsi="楷体" w:eastAsia="楷体"/>
          <w:b w:val="0"/>
          <w:bCs w:val="0"/>
          <w:spacing w:val="-4"/>
          <w:sz w:val="32"/>
          <w:szCs w:val="32"/>
        </w:rPr>
        <w:t>万元，预算执行率76.</w:t>
      </w:r>
      <w:r>
        <w:rPr>
          <w:rStyle w:val="18"/>
          <w:rFonts w:hint="eastAsia" w:ascii="楷体" w:hAnsi="楷体" w:eastAsia="楷体"/>
          <w:b w:val="0"/>
          <w:bCs w:val="0"/>
          <w:spacing w:val="-4"/>
          <w:sz w:val="32"/>
          <w:szCs w:val="32"/>
          <w:lang w:val="en-US" w:eastAsia="zh-CN"/>
        </w:rPr>
        <w:t>46</w:t>
      </w:r>
      <w:r>
        <w:rPr>
          <w:rStyle w:val="18"/>
          <w:rFonts w:hint="eastAsia" w:ascii="楷体" w:hAnsi="楷体" w:eastAsia="楷体"/>
          <w:b w:val="0"/>
          <w:bCs w:val="0"/>
          <w:spacing w:val="-4"/>
          <w:sz w:val="32"/>
          <w:szCs w:val="32"/>
        </w:rPr>
        <w:t>%。结转资金808.67万元，该项目正在审计，结转资金依据审计结果进行支付。项目资金主要用于工程尾款等方面。</w:t>
      </w:r>
    </w:p>
    <w:p w14:paraId="17354555">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77D4872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玛纳斯县2023年中央财政城镇保障性安居工程项目绩效总体目标为：本项目拟投入3435万元，主要建设(实施)内容为改造外墙保温面积大于等于98039,45平方米，外墙抹灰面积大于等于98039.45平方米，改造屋面防水面积大于等于30709.76平方米，工程验收合格达到100%，资金到位执行率100%，每栋楼改造成本小于等于111.28万元/栋，有效改善人民生活品质，使受益群众满意度达到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“改造外墙保温面积”指标，预期指标值为≥98039.45平方米；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“外墙抹灰面积”指标，预期指标值为≥98039.45平方米；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“改造屋面防水面积”指标，预期指标值为≥30709.76平方米；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“工程验收合格率”指标，预期指标值为=100%；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“每栋楼改造成本”指标，预期指标值为≤111.28万元/栋；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“改善人民生活品质”指标，预期指标值为有效改善；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“受益群众满意度”指标，预期指标值为≥90%。</w:t>
      </w:r>
    </w:p>
    <w:p w14:paraId="239BACC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5E541019">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49D8D59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二、绩效评价工作开展情况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此次我单位根据《财政支出绩效评价管理暂行办法》（财预〔2020〕10号）文件要求对2024年度我单位实施的昌吉州玛纳斯县2023年中央财政城镇保障性安居工程项目开展部门绩效评价。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1BB1C179">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22D30F2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（二）绩效评价原则、评价指标体系（附表说明）、评价方法、评价标准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昌吉州玛纳斯县2023年中央财政城镇保障性安居工程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指标解释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项目申请、设立过程是否符合相关要求，用以反映和考核项目立项的规范情况。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项目预算资金是否按照计划执行，用以反映或考核项目预算执行情况。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项目实施是否符合相关管理规定，用以反映和考核相关管理制度的有效执行情况。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产出质量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质量达标率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产出时效</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完成及时性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成本节约率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实施效益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项目实施所产生的效益。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社会公众或服务对象对项目实施效果的满意程度。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昌吉州玛纳斯县2023年中央财政城镇保障性安居工程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654533F7">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4E231B7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昌吉州玛纳斯县2023年中央财政城镇保障性安居工程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6E3261F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082E645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此次绩效评价通过组论证的评价指标体系及评分标准，采用的方法比较法、因素分析法、公众评判法，对昌吉州玛纳斯县2023年中央财政城镇保障性安居工程项目绩效进行客观评价，最终评分结果：总分为</w:t>
      </w:r>
      <w:r>
        <w:rPr>
          <w:rStyle w:val="18"/>
          <w:rFonts w:hint="eastAsia" w:ascii="楷体" w:hAnsi="楷体" w:eastAsia="楷体"/>
          <w:b w:val="0"/>
          <w:bCs w:val="0"/>
          <w:spacing w:val="-4"/>
          <w:sz w:val="32"/>
          <w:szCs w:val="32"/>
          <w:lang w:val="en-US" w:eastAsia="zh-CN"/>
        </w:rPr>
        <w:t>97.65</w:t>
      </w:r>
      <w:r>
        <w:rPr>
          <w:rStyle w:val="18"/>
          <w:rFonts w:hint="eastAsia" w:ascii="楷体" w:hAnsi="楷体" w:eastAsia="楷体"/>
          <w:b w:val="0"/>
          <w:bCs w:val="0"/>
          <w:spacing w:val="-4"/>
          <w:sz w:val="32"/>
          <w:szCs w:val="32"/>
        </w:rPr>
        <w:t>分，绩效评级为“优秀”。各部分权重和绩效汇总分值如下表3-1所示（详见上传的附件）：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表3-1：昌吉州玛纳斯县2023年中央财政城镇保障性安居工程项目得分表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19.05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99.05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95.25%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99.05%</w:t>
      </w:r>
    </w:p>
    <w:p w14:paraId="1E518533">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6EB3FBC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7959E4EA">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四、绩效评价指标分析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①项目立项根据昌州财建[2023]40号关于下达2023年中央财政城镇保障性安居工程补助资金，符合国家法律法规、国民经济发展规划和相关政策；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0252A3AF">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2B4EE8B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项目过程管理类指标由2个二级指标和5个三级指标构成，权重分20分，实际得分19.05分，各指标业绩值和绩效分值如表4-2所示（详见上传的附件）：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19.05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资金到位率=（3435/3436）×100%=100%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预算执行率=（2626.325894/3435）×100%=76.46%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综上，该项指标满分4分，得分3.05分。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①已制定《玛纳斯县住建局政府采购内控制度》、《玛纳斯县住建局内部审计制度（试行）》、《玛纳斯县住建局项目管理制度（试行）》；具有相应的财务和业务管理制度。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5DC9C88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229CB78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项目产出类指标由3个二级指标和5个三级指标构成，权重分30分，实际得分30分，各指标业绩值和绩效分值如表4-3所示（详见上传的附件）：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改造外墙保温面积</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&gt;=98039.45平方米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&gt;=98039.45平方米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外墙抹灰面积</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＞=98039.45平方米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＞=98039.45平方米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改造屋面防水面积</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＞＝30709.76平方米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＞＝30709.76平方米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工程验收合格率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每栋楼改造成本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&lt;=111.28万元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111.28万元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“改造外墙保温面积”指标，预期指标值为&gt;=98039.45平方米，实际完成为&gt;=98039.45平方米。实际完成率=100%。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“外墙抹灰面积”指标，预期指标值为&gt;=98039.45平方米，实际完成为&gt;=98039.45平方米。实际完成率=100%。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“改造屋面防水面积”指标，预期指标值为&gt;=30709.76平方米，实际完成为&gt;=30709.76平方米。实际完成率=100%。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“工程验收合格率”指标，预期指标值为=100%，实际完成为=100%。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“资金到位执行率”指标，预期指标值为=100%，实际完成为=100%。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“每栋楼改造成本”指标，预期指标值为&lt;=111.28万元，实际完成为&lt;=111.28万元。实际完成率=（111.28万元/111.28万元）×100%=100%。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p>
    <w:p w14:paraId="656706D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45076E5B">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项目产出类指标由2个二级指标和2个三级指标构成，权重分30分，实际得分30分，各指标业绩值和绩效分值如表4-4所示（详见上传的附件）：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改善人民生活品质</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有效改善</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有效改善</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受益群众满意度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“改善人民生活品质”指标，预期指标值为有效改善，实际完成为有效改善。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通过项目的实施，有效改善人民生活品质。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综上，该项指标满分20分，得分20分。</w:t>
      </w:r>
    </w:p>
    <w:p w14:paraId="7A5917C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5.满意度指标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“受益群众满意度”指标，预期指标值为≥90%，实际完成为≥90%。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20ED3367">
      <w:pPr>
        <w:spacing w:line="540" w:lineRule="exact"/>
        <w:ind w:firstLine="567"/>
        <w:rPr>
          <w:rStyle w:val="18"/>
          <w:rFonts w:hint="eastAsia" w:ascii="楷体" w:hAnsi="楷体" w:eastAsia="楷体"/>
          <w:b w:val="0"/>
          <w:bCs w:val="0"/>
          <w:spacing w:val="-4"/>
          <w:sz w:val="32"/>
          <w:szCs w:val="32"/>
        </w:rPr>
      </w:pPr>
    </w:p>
    <w:p w14:paraId="5730F0D8">
      <w:pPr>
        <w:spacing w:line="540" w:lineRule="exact"/>
        <w:ind w:firstLine="567"/>
        <w:rPr>
          <w:rStyle w:val="18"/>
          <w:rFonts w:ascii="楷体" w:hAnsi="楷体" w:eastAsia="楷体"/>
          <w:spacing w:val="-4"/>
          <w:sz w:val="32"/>
          <w:szCs w:val="32"/>
        </w:rPr>
      </w:pPr>
    </w:p>
    <w:p w14:paraId="4E0EAD72">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44AD8A11">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五、主要经验及做法、存在的问题及原因分析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昌吉州玛纳斯县2023年中央财政城镇保障性安居工程项目2024年预算数为3435万元，截至2024年12月31日共支出2626.325894万元，预算执行率为76.46%。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住房和城乡建设局建立健全了预算管理规章制度，各部门严格按预算编制的原则和要求做好当年预算编制工作，在预算绩效管理工作中，做到合理安排各项资金，重点保障基本支出，按轻重缓急顺序原则，优先安排了玛纳斯县住房和城乡建设局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09B788A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4E906A1C">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5692F78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3FE553D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无其他需要说明的问题。</w:t>
      </w:r>
    </w:p>
    <w:p w14:paraId="0B05F718">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1EEE0C5">
        <w:pPr>
          <w:pStyle w:val="12"/>
          <w:jc w:val="center"/>
        </w:pPr>
        <w:r>
          <w:fldChar w:fldCharType="begin"/>
        </w:r>
        <w:r>
          <w:instrText xml:space="preserve">PAGE   \* MERGEFORMAT</w:instrText>
        </w:r>
        <w:r>
          <w:fldChar w:fldCharType="separate"/>
        </w:r>
        <w:r>
          <w:rPr>
            <w:lang w:val="zh-CN"/>
          </w:rPr>
          <w:t>2</w:t>
        </w:r>
        <w:r>
          <w:fldChar w:fldCharType="end"/>
        </w:r>
      </w:p>
    </w:sdtContent>
  </w:sdt>
  <w:p w14:paraId="37CBFBDD">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DAB0CD3"/>
    <w:rsid w:val="0F58071E"/>
    <w:rsid w:val="1164378F"/>
    <w:rsid w:val="11BD75F7"/>
    <w:rsid w:val="13BE561A"/>
    <w:rsid w:val="15392994"/>
    <w:rsid w:val="18FE139B"/>
    <w:rsid w:val="3029612C"/>
    <w:rsid w:val="32A221C5"/>
    <w:rsid w:val="33F20F2A"/>
    <w:rsid w:val="34C44675"/>
    <w:rsid w:val="3B5B5607"/>
    <w:rsid w:val="3CE21B3C"/>
    <w:rsid w:val="4168474B"/>
    <w:rsid w:val="46AD611F"/>
    <w:rsid w:val="4C3549D5"/>
    <w:rsid w:val="4D2606A1"/>
    <w:rsid w:val="510438B8"/>
    <w:rsid w:val="51830480"/>
    <w:rsid w:val="53A616BE"/>
    <w:rsid w:val="54662BFB"/>
    <w:rsid w:val="62051CA5"/>
    <w:rsid w:val="6C3A69EF"/>
    <w:rsid w:val="78A65A11"/>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Pages>
  <Words>9202</Words>
  <Characters>9829</Characters>
  <Lines>4</Lines>
  <Paragraphs>1</Paragraphs>
  <TotalTime>9</TotalTime>
  <ScaleCrop>false</ScaleCrop>
  <LinksUpToDate>false</LinksUpToDate>
  <CharactersWithSpaces>10101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2025-08-12T05:42:09Z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