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AEB8B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2645F7E">
      <w:pPr>
        <w:spacing w:line="540" w:lineRule="exact"/>
        <w:jc w:val="center"/>
        <w:rPr>
          <w:rFonts w:ascii="华文中宋" w:hAnsi="华文中宋" w:eastAsia="华文中宋" w:cs="宋体"/>
          <w:b/>
          <w:kern w:val="0"/>
          <w:sz w:val="52"/>
          <w:szCs w:val="52"/>
        </w:rPr>
      </w:pPr>
    </w:p>
    <w:p w14:paraId="00F72208">
      <w:pPr>
        <w:spacing w:line="540" w:lineRule="exact"/>
        <w:jc w:val="center"/>
        <w:rPr>
          <w:rFonts w:ascii="华文中宋" w:hAnsi="华文中宋" w:eastAsia="华文中宋" w:cs="宋体"/>
          <w:b/>
          <w:kern w:val="0"/>
          <w:sz w:val="52"/>
          <w:szCs w:val="52"/>
        </w:rPr>
      </w:pPr>
    </w:p>
    <w:p w14:paraId="1FD0074E">
      <w:pPr>
        <w:spacing w:line="540" w:lineRule="exact"/>
        <w:jc w:val="center"/>
        <w:rPr>
          <w:rFonts w:ascii="华文中宋" w:hAnsi="华文中宋" w:eastAsia="华文中宋" w:cs="宋体"/>
          <w:b/>
          <w:kern w:val="0"/>
          <w:sz w:val="52"/>
          <w:szCs w:val="52"/>
        </w:rPr>
      </w:pPr>
    </w:p>
    <w:p w14:paraId="5F95868E">
      <w:pPr>
        <w:spacing w:line="540" w:lineRule="exact"/>
        <w:jc w:val="center"/>
        <w:rPr>
          <w:rFonts w:ascii="华文中宋" w:hAnsi="华文中宋" w:eastAsia="华文中宋" w:cs="宋体"/>
          <w:b/>
          <w:kern w:val="0"/>
          <w:sz w:val="52"/>
          <w:szCs w:val="52"/>
        </w:rPr>
      </w:pPr>
    </w:p>
    <w:p w14:paraId="190ED252">
      <w:pPr>
        <w:spacing w:line="540" w:lineRule="exact"/>
        <w:jc w:val="center"/>
        <w:rPr>
          <w:rFonts w:ascii="华文中宋" w:hAnsi="华文中宋" w:eastAsia="华文中宋" w:cs="宋体"/>
          <w:b/>
          <w:kern w:val="0"/>
          <w:sz w:val="52"/>
          <w:szCs w:val="52"/>
        </w:rPr>
      </w:pPr>
    </w:p>
    <w:p w14:paraId="231566AD">
      <w:pPr>
        <w:spacing w:line="540" w:lineRule="exact"/>
        <w:jc w:val="center"/>
        <w:rPr>
          <w:rFonts w:ascii="华文中宋" w:hAnsi="华文中宋" w:eastAsia="华文中宋" w:cs="宋体"/>
          <w:b/>
          <w:kern w:val="0"/>
          <w:sz w:val="52"/>
          <w:szCs w:val="52"/>
        </w:rPr>
      </w:pPr>
    </w:p>
    <w:p w14:paraId="01B1565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2646117">
      <w:pPr>
        <w:spacing w:line="540" w:lineRule="exact"/>
        <w:jc w:val="center"/>
        <w:rPr>
          <w:rFonts w:ascii="华文中宋" w:hAnsi="华文中宋" w:eastAsia="华文中宋" w:cs="宋体"/>
          <w:b/>
          <w:kern w:val="0"/>
          <w:sz w:val="52"/>
          <w:szCs w:val="52"/>
        </w:rPr>
      </w:pPr>
    </w:p>
    <w:p w14:paraId="58A0C68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BDC07D">
      <w:pPr>
        <w:spacing w:line="540" w:lineRule="exact"/>
        <w:jc w:val="center"/>
        <w:rPr>
          <w:rFonts w:hAnsi="宋体" w:eastAsia="仿宋_GB2312" w:cs="宋体"/>
          <w:kern w:val="0"/>
          <w:sz w:val="30"/>
          <w:szCs w:val="30"/>
        </w:rPr>
      </w:pPr>
    </w:p>
    <w:p w14:paraId="20812456">
      <w:pPr>
        <w:spacing w:line="540" w:lineRule="exact"/>
        <w:jc w:val="center"/>
        <w:rPr>
          <w:rFonts w:hAnsi="宋体" w:eastAsia="仿宋_GB2312" w:cs="宋体"/>
          <w:kern w:val="0"/>
          <w:sz w:val="30"/>
          <w:szCs w:val="30"/>
        </w:rPr>
      </w:pPr>
    </w:p>
    <w:p w14:paraId="39EA33ED">
      <w:pPr>
        <w:spacing w:line="540" w:lineRule="exact"/>
        <w:jc w:val="center"/>
        <w:rPr>
          <w:rFonts w:hAnsi="宋体" w:eastAsia="仿宋_GB2312" w:cs="宋体"/>
          <w:kern w:val="0"/>
          <w:sz w:val="30"/>
          <w:szCs w:val="30"/>
        </w:rPr>
      </w:pPr>
    </w:p>
    <w:p w14:paraId="3E49C2D0">
      <w:pPr>
        <w:spacing w:line="540" w:lineRule="exact"/>
        <w:jc w:val="center"/>
        <w:rPr>
          <w:rFonts w:hAnsi="宋体" w:eastAsia="仿宋_GB2312" w:cs="宋体"/>
          <w:kern w:val="0"/>
          <w:sz w:val="30"/>
          <w:szCs w:val="30"/>
        </w:rPr>
      </w:pPr>
    </w:p>
    <w:p w14:paraId="4C9EB72E">
      <w:pPr>
        <w:spacing w:line="540" w:lineRule="exact"/>
        <w:jc w:val="center"/>
        <w:rPr>
          <w:rFonts w:hAnsi="宋体" w:eastAsia="仿宋_GB2312" w:cs="宋体"/>
          <w:kern w:val="0"/>
          <w:sz w:val="30"/>
          <w:szCs w:val="30"/>
        </w:rPr>
      </w:pPr>
    </w:p>
    <w:p w14:paraId="695639E1">
      <w:pPr>
        <w:spacing w:line="540" w:lineRule="exact"/>
        <w:jc w:val="center"/>
        <w:rPr>
          <w:rFonts w:hAnsi="宋体" w:eastAsia="仿宋_GB2312" w:cs="宋体"/>
          <w:kern w:val="0"/>
          <w:sz w:val="30"/>
          <w:szCs w:val="30"/>
        </w:rPr>
      </w:pPr>
    </w:p>
    <w:p w14:paraId="74E6204E">
      <w:pPr>
        <w:spacing w:line="540" w:lineRule="exact"/>
        <w:rPr>
          <w:rFonts w:hAnsi="宋体" w:eastAsia="仿宋_GB2312" w:cs="宋体"/>
          <w:kern w:val="0"/>
          <w:sz w:val="30"/>
          <w:szCs w:val="30"/>
        </w:rPr>
      </w:pPr>
    </w:p>
    <w:p w14:paraId="1EE8087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00BF65">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玛纳斯工业园区管理委员会-购买心连心能源化工有限公司循环流化床锅炉及其附属设施费用</w:t>
      </w:r>
    </w:p>
    <w:p w14:paraId="54952AFB">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玛纳斯工业园区管理委员会</w:t>
      </w:r>
    </w:p>
    <w:p w14:paraId="17B72270">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玛纳斯工业园区管理委员会</w:t>
      </w:r>
    </w:p>
    <w:p w14:paraId="0B33469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曹华伟</w:t>
      </w:r>
    </w:p>
    <w:p w14:paraId="79650F0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2FD0B7D8">
      <w:pPr>
        <w:spacing w:line="700" w:lineRule="exact"/>
        <w:ind w:firstLine="708" w:firstLineChars="236"/>
        <w:jc w:val="left"/>
        <w:rPr>
          <w:rFonts w:hAnsi="宋体" w:eastAsia="仿宋_GB2312" w:cs="宋体"/>
          <w:kern w:val="0"/>
          <w:sz w:val="30"/>
          <w:szCs w:val="30"/>
        </w:rPr>
      </w:pPr>
    </w:p>
    <w:p w14:paraId="614A52AC">
      <w:pPr>
        <w:spacing w:line="540" w:lineRule="exact"/>
        <w:rPr>
          <w:rStyle w:val="18"/>
          <w:rFonts w:ascii="黑体" w:hAnsi="黑体" w:eastAsia="黑体"/>
          <w:b w:val="0"/>
          <w:spacing w:val="-4"/>
          <w:sz w:val="32"/>
          <w:szCs w:val="32"/>
        </w:rPr>
      </w:pPr>
    </w:p>
    <w:p w14:paraId="550730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CDEAB4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6A0FB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提高能源利用率，满足玛纳斯县工业园区塔河产业区周边乡镇（平原林场、乐土驿镇）的冬季采暖需求以及产业区东区（心连心片区）落地企业工业生产蒸汽需要，园区于2020年申报了“玛纳斯县工业园区集中供热(汽)及配套管网建设项目”。项目实施后，塔河产业区南区东片区的主要工业热负荷和平原林场、乐土驿镇采暖热负荷将由玛纳斯县工业园区塔河产业区南区东片区集中供热中心供应。该项目将有利于提升工业园区基础设施建设水平，为入驻的园区企业提供生产必须的蒸汽，进一步提高园区承载力，有助于招商引资项目落地。同时为周边乡镇提供冬季供暖，进一步保障民生，降低污染物排放，提升生态环境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主要内容：继续实施“玛纳斯县工业园区集中供热(汽)及配套管网建设项目”，完成购买心连心能源化工有限公司循环流化床锅炉及其附属设施费用的缴纳。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本项目于2024年1月开始实施，截止2024年12月已全部完成，通过本项目的实施，有效增加我县税收收入，长期增加促进玛纳斯经济发展，改善园区投资环境，提高园区整体功能的发挥。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2024年，购买心连心能源化工有限公司循环流化床锅炉及其附属设施费用项目的实施主体为玛纳斯工业园区管理委员会。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玛纳斯工业园区管理委员会编制人数为28人，其中：事业编制23人。实有在职人数23人，其中：事业在职23人。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购买心连心能源化工有限公司循环流化床锅炉及其附属设施费用项目预算安排总额为</w:t>
      </w:r>
      <w:r>
        <w:rPr>
          <w:rStyle w:val="18"/>
          <w:rFonts w:hint="eastAsia" w:ascii="楷体" w:hAnsi="楷体" w:eastAsia="楷体"/>
          <w:b w:val="0"/>
          <w:bCs w:val="0"/>
          <w:spacing w:val="-4"/>
          <w:sz w:val="32"/>
          <w:szCs w:val="32"/>
          <w:lang w:eastAsia="zh-CN"/>
        </w:rPr>
        <w:t>3,831.95</w:t>
      </w:r>
      <w:r>
        <w:rPr>
          <w:rStyle w:val="18"/>
          <w:rFonts w:hint="eastAsia" w:ascii="楷体" w:hAnsi="楷体" w:eastAsia="楷体"/>
          <w:b w:val="0"/>
          <w:bCs w:val="0"/>
          <w:spacing w:val="-4"/>
          <w:sz w:val="32"/>
          <w:szCs w:val="32"/>
        </w:rPr>
        <w:t>万元，其中财政资金</w:t>
      </w:r>
      <w:r>
        <w:rPr>
          <w:rStyle w:val="18"/>
          <w:rFonts w:hint="eastAsia" w:ascii="楷体" w:hAnsi="楷体" w:eastAsia="楷体"/>
          <w:b w:val="0"/>
          <w:bCs w:val="0"/>
          <w:spacing w:val="-4"/>
          <w:sz w:val="32"/>
          <w:szCs w:val="32"/>
          <w:lang w:eastAsia="zh-CN"/>
        </w:rPr>
        <w:t>3,831.95</w:t>
      </w:r>
      <w:r>
        <w:rPr>
          <w:rStyle w:val="18"/>
          <w:rFonts w:hint="eastAsia" w:ascii="楷体" w:hAnsi="楷体" w:eastAsia="楷体"/>
          <w:b w:val="0"/>
          <w:bCs w:val="0"/>
          <w:spacing w:val="-4"/>
          <w:sz w:val="32"/>
          <w:szCs w:val="32"/>
        </w:rPr>
        <w:t>万元，2024年实际收到预算资金</w:t>
      </w:r>
      <w:r>
        <w:rPr>
          <w:rStyle w:val="18"/>
          <w:rFonts w:hint="eastAsia" w:ascii="楷体" w:hAnsi="楷体" w:eastAsia="楷体"/>
          <w:b w:val="0"/>
          <w:bCs w:val="0"/>
          <w:spacing w:val="-4"/>
          <w:sz w:val="32"/>
          <w:szCs w:val="32"/>
          <w:lang w:eastAsia="zh-CN"/>
        </w:rPr>
        <w:t>3,831.95</w:t>
      </w:r>
      <w:r>
        <w:rPr>
          <w:rStyle w:val="18"/>
          <w:rFonts w:hint="eastAsia" w:ascii="楷体" w:hAnsi="楷体" w:eastAsia="楷体"/>
          <w:b w:val="0"/>
          <w:bCs w:val="0"/>
          <w:spacing w:val="-4"/>
          <w:sz w:val="32"/>
          <w:szCs w:val="32"/>
        </w:rPr>
        <w:t>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购买心连心能源化工有限公司循环流化床锅炉及其附属设施费用项目实际支付资金3,831.95万元，预算执行率100%。结转结余资金0万元。项目资金主要用于购买心连心能源化工有限公司循环流化床锅炉及其附属设施费用项目的缴纳。</w:t>
      </w:r>
    </w:p>
    <w:p w14:paraId="031BAE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0EAC6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购买心连心能源化工有限公司循环流化床锅炉及其附属设施费用项目绩效总体目标为：本项目拟投入</w:t>
      </w:r>
      <w:r>
        <w:rPr>
          <w:rStyle w:val="18"/>
          <w:rFonts w:hint="eastAsia" w:ascii="楷体" w:hAnsi="楷体" w:eastAsia="楷体"/>
          <w:b w:val="0"/>
          <w:bCs w:val="0"/>
          <w:spacing w:val="-4"/>
          <w:sz w:val="32"/>
          <w:szCs w:val="32"/>
          <w:lang w:eastAsia="zh-CN"/>
        </w:rPr>
        <w:t>3,831.95</w:t>
      </w:r>
      <w:r>
        <w:rPr>
          <w:rStyle w:val="18"/>
          <w:rFonts w:hint="eastAsia" w:ascii="楷体" w:hAnsi="楷体" w:eastAsia="楷体"/>
          <w:b w:val="0"/>
          <w:bCs w:val="0"/>
          <w:spacing w:val="-4"/>
          <w:sz w:val="32"/>
          <w:szCs w:val="32"/>
        </w:rPr>
        <w:t>万元，主要实施内容为完成购买心连心能源化工有限公司循环流化床锅炉及其附属设施费用项目的缴纳，截至2024年12月31日，本项目已投入3831.95万元，已完成购买锅炉数量1个，资金支付准确率达到100%，资金支付及时率达到100%，购买锅炉成本3831.95万元，预算成本控制率100%，本项目实施保障园区及附属乡镇供暖供热服务水平，使受益群众满意度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“购买锅炉数量”指标，预期指标值为=1个；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“设备成本总额”指标，预期指标值为≤</w:t>
      </w:r>
      <w:r>
        <w:rPr>
          <w:rStyle w:val="18"/>
          <w:rFonts w:hint="eastAsia" w:ascii="楷体" w:hAnsi="楷体" w:eastAsia="楷体"/>
          <w:b w:val="0"/>
          <w:bCs w:val="0"/>
          <w:spacing w:val="-4"/>
          <w:sz w:val="32"/>
          <w:szCs w:val="32"/>
          <w:lang w:eastAsia="zh-CN"/>
        </w:rPr>
        <w:t>3,831.95</w:t>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“保障园区及附属乡镇供暖供热服务水平”指标，预期指标值为有效保障；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“受益人口满意度”指标，预期指标值为≥90%。</w:t>
      </w:r>
    </w:p>
    <w:p w14:paraId="33440D8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368C0A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283D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此次我单位根据《财政支出绩效评价管理暂行办法》（财预〔2020〕10号）文件要求对2024年度我单位实施的购买心连心能源化工有限公司循环流化床锅炉及其附属设施费用项目开展部门绩效评价。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5A96D3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1DBA8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购买心连心能源化工有限公司循环流化床锅炉及其附属设施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购买心连心能源化工有限公司循环流化床锅炉及其附属设施费用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B552E0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38EE9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工业园区副主任曹华伟任评价组组长，绩效评价工作职责为检查项目绩效指标完成情况，审定项目支出绩效评价结果及项目支出绩效评价报告。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业园区办公室主任郝阳任评价组副组长，绩效评价工作职责为组织和协调项目工作人员采取实地调查、资料检查等方式，核实项目绩效指标完成情况；组织受益对象对项目工作进行评价等。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桂继军、李海龙、王姣、马达、徐湧泉任评价组成员，绩效评价工作职责为做好项目支出绩效评价工作的沟通协调工作，对项目实施情况进行实地调查，编写项目支出绩效评价报告。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购买心连心能源化工有限公司循环流化床锅炉及其附属设施费用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DAC93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B9FD6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购买心连心能源化工有限公司循环流化床锅炉及其附属设施费用项目绩效进行客观评价，最终评分结果：总分为100分，绩效评级为“优秀”。各部分权重和绩效汇总分值如下表3-1所示（详见上传的附件）：</w:t>
      </w:r>
    </w:p>
    <w:p w14:paraId="5E620E2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021FB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F3020B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昌吉州玛纳斯县工业园区集中供热（汽）及配套管网建设项目可行性研究报告（代项目建议书）的批复、玛纳斯县第十八届人民政府第二十四次常务会会议纪要等文件批准设立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64FBCF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6DC74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资金到位率=（3831.95万元/3831.95万元）×100%=100%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预算执行率=（3831.95万元/3831.95万元）×100%=100%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①已具有《玛纳斯县工业园区管委会财务收支审批制度》《玛纳斯县工业园区管委会固定资产管理制度》用以管理项目实施。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09A761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7256F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“购买锅炉数量”指标，预期指标值为1个，实际完成为1个。实际完成率=（1个/1个）×100%=100%。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“设备成本总额”指标，预期指标值为小于等于3831.95万元，实际完成为3831.95万元。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29B684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774434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“保障园区及附属乡镇供暖供热服务水平”指标，预期指标值为有效保障，实际达到预期指标。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通过项目的实施，有效提升了试验区整体开发利用率，保障园区及附属乡镇供暖供热服务水平。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68D2CE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D61FC4A">
      <w:pPr>
        <w:spacing w:line="540" w:lineRule="exact"/>
        <w:ind w:firstLine="567"/>
        <w:rPr>
          <w:rStyle w:val="18"/>
          <w:rFonts w:hint="eastAsia" w:ascii="楷体" w:hAnsi="楷体" w:eastAsia="楷体"/>
          <w:b w:val="0"/>
          <w:bCs w:val="0"/>
          <w:spacing w:val="-4"/>
          <w:sz w:val="32"/>
          <w:szCs w:val="32"/>
        </w:rPr>
      </w:pPr>
    </w:p>
    <w:p w14:paraId="44F578B5">
      <w:pPr>
        <w:spacing w:line="540" w:lineRule="exact"/>
        <w:ind w:firstLine="567"/>
        <w:rPr>
          <w:rStyle w:val="18"/>
          <w:rFonts w:ascii="楷体" w:hAnsi="楷体" w:eastAsia="楷体"/>
          <w:spacing w:val="-4"/>
          <w:sz w:val="32"/>
          <w:szCs w:val="32"/>
        </w:rPr>
      </w:pPr>
    </w:p>
    <w:p w14:paraId="385E728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C5B1C3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42FC1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F285B1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2375F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DC9F2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2EC58EF">
      <w:pPr>
        <w:spacing w:line="540" w:lineRule="exact"/>
        <w:ind w:firstLine="567"/>
        <w:rPr>
          <w:rStyle w:val="18"/>
          <w:rFonts w:ascii="仿宋" w:hAnsi="仿宋" w:eastAsia="仿宋"/>
          <w:b w:val="0"/>
          <w:spacing w:val="-4"/>
          <w:sz w:val="32"/>
          <w:szCs w:val="32"/>
        </w:rPr>
      </w:pPr>
    </w:p>
    <w:p w14:paraId="2060A609">
      <w:pPr>
        <w:spacing w:line="540" w:lineRule="exact"/>
        <w:ind w:firstLine="567"/>
        <w:rPr>
          <w:rStyle w:val="18"/>
          <w:rFonts w:ascii="仿宋" w:hAnsi="仿宋" w:eastAsia="仿宋"/>
          <w:b w:val="0"/>
          <w:spacing w:val="-4"/>
          <w:sz w:val="32"/>
          <w:szCs w:val="32"/>
        </w:rPr>
      </w:pPr>
    </w:p>
    <w:p w14:paraId="151D86FB">
      <w:pPr>
        <w:spacing w:line="540" w:lineRule="exact"/>
        <w:ind w:firstLine="567"/>
        <w:rPr>
          <w:rStyle w:val="18"/>
          <w:rFonts w:ascii="仿宋" w:hAnsi="仿宋" w:eastAsia="仿宋"/>
          <w:b w:val="0"/>
          <w:spacing w:val="-4"/>
          <w:sz w:val="32"/>
          <w:szCs w:val="32"/>
        </w:rPr>
      </w:pPr>
    </w:p>
    <w:p w14:paraId="5D7985EC">
      <w:pPr>
        <w:spacing w:line="540" w:lineRule="exact"/>
        <w:ind w:firstLine="567"/>
        <w:rPr>
          <w:rStyle w:val="18"/>
          <w:rFonts w:ascii="仿宋" w:hAnsi="仿宋" w:eastAsia="仿宋"/>
          <w:b w:val="0"/>
          <w:spacing w:val="-4"/>
          <w:sz w:val="32"/>
          <w:szCs w:val="32"/>
        </w:rPr>
      </w:pPr>
    </w:p>
    <w:p w14:paraId="3E0FBDB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F8298A5">
        <w:pPr>
          <w:pStyle w:val="12"/>
          <w:jc w:val="center"/>
        </w:pPr>
        <w:r>
          <w:fldChar w:fldCharType="begin"/>
        </w:r>
        <w:r>
          <w:instrText xml:space="preserve">PAGE   \* MERGEFORMAT</w:instrText>
        </w:r>
        <w:r>
          <w:fldChar w:fldCharType="separate"/>
        </w:r>
        <w:r>
          <w:rPr>
            <w:lang w:val="zh-CN"/>
          </w:rPr>
          <w:t>2</w:t>
        </w:r>
        <w:r>
          <w:fldChar w:fldCharType="end"/>
        </w:r>
      </w:p>
    </w:sdtContent>
  </w:sdt>
  <w:p w14:paraId="2708168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26542A6"/>
    <w:rsid w:val="13BE561A"/>
    <w:rsid w:val="15392994"/>
    <w:rsid w:val="18FE139B"/>
    <w:rsid w:val="1D95142B"/>
    <w:rsid w:val="2A9E19D4"/>
    <w:rsid w:val="3029612C"/>
    <w:rsid w:val="32A221C5"/>
    <w:rsid w:val="338C010B"/>
    <w:rsid w:val="33F20F2A"/>
    <w:rsid w:val="34C44675"/>
    <w:rsid w:val="3B5B5607"/>
    <w:rsid w:val="3CE21B3C"/>
    <w:rsid w:val="46AD611F"/>
    <w:rsid w:val="4D2606A1"/>
    <w:rsid w:val="51830480"/>
    <w:rsid w:val="53A616BE"/>
    <w:rsid w:val="54662BFB"/>
    <w:rsid w:val="59746828"/>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7115</Words>
  <Characters>7434</Characters>
  <Lines>4</Lines>
  <Paragraphs>1</Paragraphs>
  <TotalTime>12</TotalTime>
  <ScaleCrop>false</ScaleCrop>
  <LinksUpToDate>false</LinksUpToDate>
  <CharactersWithSpaces>7448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2025-08-22T08:46:56Z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