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78D7D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276BDAE">
      <w:pPr>
        <w:spacing w:line="540" w:lineRule="exact"/>
        <w:jc w:val="center"/>
        <w:rPr>
          <w:rFonts w:ascii="华文中宋" w:hAnsi="华文中宋" w:eastAsia="华文中宋" w:cs="宋体"/>
          <w:b/>
          <w:kern w:val="0"/>
          <w:sz w:val="52"/>
          <w:szCs w:val="52"/>
        </w:rPr>
      </w:pPr>
    </w:p>
    <w:p w14:paraId="74AEA785">
      <w:pPr>
        <w:spacing w:line="540" w:lineRule="exact"/>
        <w:jc w:val="center"/>
        <w:rPr>
          <w:rFonts w:ascii="华文中宋" w:hAnsi="华文中宋" w:eastAsia="华文中宋" w:cs="宋体"/>
          <w:b/>
          <w:kern w:val="0"/>
          <w:sz w:val="52"/>
          <w:szCs w:val="52"/>
        </w:rPr>
      </w:pPr>
    </w:p>
    <w:p w14:paraId="1A4AF30B">
      <w:pPr>
        <w:spacing w:line="540" w:lineRule="exact"/>
        <w:jc w:val="center"/>
        <w:rPr>
          <w:rFonts w:ascii="华文中宋" w:hAnsi="华文中宋" w:eastAsia="华文中宋" w:cs="宋体"/>
          <w:b/>
          <w:kern w:val="0"/>
          <w:sz w:val="52"/>
          <w:szCs w:val="52"/>
        </w:rPr>
      </w:pPr>
    </w:p>
    <w:p w14:paraId="2B65BF30">
      <w:pPr>
        <w:spacing w:line="540" w:lineRule="exact"/>
        <w:jc w:val="center"/>
        <w:rPr>
          <w:rFonts w:ascii="华文中宋" w:hAnsi="华文中宋" w:eastAsia="华文中宋" w:cs="宋体"/>
          <w:b/>
          <w:kern w:val="0"/>
          <w:sz w:val="52"/>
          <w:szCs w:val="52"/>
        </w:rPr>
      </w:pPr>
    </w:p>
    <w:p w14:paraId="1A4FFA31">
      <w:pPr>
        <w:spacing w:line="540" w:lineRule="exact"/>
        <w:jc w:val="center"/>
        <w:rPr>
          <w:rFonts w:ascii="华文中宋" w:hAnsi="华文中宋" w:eastAsia="华文中宋" w:cs="宋体"/>
          <w:b/>
          <w:kern w:val="0"/>
          <w:sz w:val="52"/>
          <w:szCs w:val="52"/>
        </w:rPr>
      </w:pPr>
    </w:p>
    <w:p w14:paraId="5958E966">
      <w:pPr>
        <w:spacing w:line="540" w:lineRule="exact"/>
        <w:jc w:val="center"/>
        <w:rPr>
          <w:rFonts w:ascii="华文中宋" w:hAnsi="华文中宋" w:eastAsia="华文中宋" w:cs="宋体"/>
          <w:b/>
          <w:kern w:val="0"/>
          <w:sz w:val="52"/>
          <w:szCs w:val="52"/>
        </w:rPr>
      </w:pPr>
    </w:p>
    <w:p w14:paraId="6714DCE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1CCEBE9">
      <w:pPr>
        <w:spacing w:line="540" w:lineRule="exact"/>
        <w:jc w:val="center"/>
        <w:rPr>
          <w:rFonts w:ascii="华文中宋" w:hAnsi="华文中宋" w:eastAsia="华文中宋" w:cs="宋体"/>
          <w:b/>
          <w:kern w:val="0"/>
          <w:sz w:val="52"/>
          <w:szCs w:val="52"/>
        </w:rPr>
      </w:pPr>
    </w:p>
    <w:p w14:paraId="1269B6D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40BF935">
      <w:pPr>
        <w:spacing w:line="540" w:lineRule="exact"/>
        <w:jc w:val="center"/>
        <w:rPr>
          <w:rFonts w:hAnsi="宋体" w:eastAsia="仿宋_GB2312" w:cs="宋体"/>
          <w:kern w:val="0"/>
          <w:sz w:val="30"/>
          <w:szCs w:val="30"/>
        </w:rPr>
      </w:pPr>
    </w:p>
    <w:p w14:paraId="07EE2366">
      <w:pPr>
        <w:spacing w:line="540" w:lineRule="exact"/>
        <w:jc w:val="center"/>
        <w:rPr>
          <w:rFonts w:hAnsi="宋体" w:eastAsia="仿宋_GB2312" w:cs="宋体"/>
          <w:kern w:val="0"/>
          <w:sz w:val="30"/>
          <w:szCs w:val="30"/>
        </w:rPr>
      </w:pPr>
    </w:p>
    <w:p w14:paraId="4109D5A4">
      <w:pPr>
        <w:spacing w:line="540" w:lineRule="exact"/>
        <w:jc w:val="center"/>
        <w:rPr>
          <w:rFonts w:hAnsi="宋体" w:eastAsia="仿宋_GB2312" w:cs="宋体"/>
          <w:kern w:val="0"/>
          <w:sz w:val="30"/>
          <w:szCs w:val="30"/>
        </w:rPr>
      </w:pPr>
    </w:p>
    <w:p w14:paraId="12C3E6AF">
      <w:pPr>
        <w:spacing w:line="540" w:lineRule="exact"/>
        <w:jc w:val="center"/>
        <w:rPr>
          <w:rFonts w:hAnsi="宋体" w:eastAsia="仿宋_GB2312" w:cs="宋体"/>
          <w:kern w:val="0"/>
          <w:sz w:val="30"/>
          <w:szCs w:val="30"/>
        </w:rPr>
      </w:pPr>
    </w:p>
    <w:p w14:paraId="5A3707F7">
      <w:pPr>
        <w:spacing w:line="540" w:lineRule="exact"/>
        <w:jc w:val="center"/>
        <w:rPr>
          <w:rFonts w:hAnsi="宋体" w:eastAsia="仿宋_GB2312" w:cs="宋体"/>
          <w:kern w:val="0"/>
          <w:sz w:val="30"/>
          <w:szCs w:val="30"/>
        </w:rPr>
      </w:pPr>
    </w:p>
    <w:p w14:paraId="7D8A5F7A">
      <w:pPr>
        <w:spacing w:line="540" w:lineRule="exact"/>
        <w:jc w:val="center"/>
        <w:rPr>
          <w:rFonts w:hAnsi="宋体" w:eastAsia="仿宋_GB2312" w:cs="宋体"/>
          <w:kern w:val="0"/>
          <w:sz w:val="30"/>
          <w:szCs w:val="30"/>
        </w:rPr>
      </w:pPr>
    </w:p>
    <w:p w14:paraId="3A040073">
      <w:pPr>
        <w:spacing w:line="540" w:lineRule="exact"/>
        <w:rPr>
          <w:rFonts w:hAnsi="宋体" w:eastAsia="仿宋_GB2312" w:cs="宋体"/>
          <w:kern w:val="0"/>
          <w:sz w:val="30"/>
          <w:szCs w:val="30"/>
        </w:rPr>
      </w:pPr>
    </w:p>
    <w:p w14:paraId="2574A0F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D574AEE">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玛纳斯县商务和工业信息化局-2024年第二批外经贸发展专项资金</w:t>
      </w:r>
    </w:p>
    <w:p w14:paraId="49E8D88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玛纳斯县商务和工业信息化局</w:t>
      </w:r>
    </w:p>
    <w:p w14:paraId="15ED575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玛纳斯县商务和工业信息化局</w:t>
      </w:r>
    </w:p>
    <w:p w14:paraId="7B4D91D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王欢</w:t>
      </w:r>
    </w:p>
    <w:p w14:paraId="1C503A91">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2025年03月17日</w:t>
      </w:r>
    </w:p>
    <w:p w14:paraId="4E7A9870">
      <w:pPr>
        <w:spacing w:line="700" w:lineRule="exact"/>
        <w:ind w:firstLine="708" w:firstLineChars="236"/>
        <w:jc w:val="left"/>
        <w:rPr>
          <w:rFonts w:hAnsi="宋体" w:eastAsia="仿宋_GB2312" w:cs="宋体"/>
          <w:kern w:val="0"/>
          <w:sz w:val="30"/>
          <w:szCs w:val="30"/>
        </w:rPr>
      </w:pPr>
    </w:p>
    <w:p w14:paraId="6783E5EE">
      <w:pPr>
        <w:spacing w:line="540" w:lineRule="exact"/>
        <w:rPr>
          <w:rStyle w:val="18"/>
          <w:rFonts w:ascii="黑体" w:hAnsi="黑体" w:eastAsia="黑体"/>
          <w:b w:val="0"/>
          <w:spacing w:val="-4"/>
          <w:sz w:val="32"/>
          <w:szCs w:val="32"/>
        </w:rPr>
      </w:pPr>
    </w:p>
    <w:p w14:paraId="43B01DB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250FC866">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6A847B3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拨付2024年第二批外经贸发展专项资金的通知》（昌州财建[2024]110号）的要求，为帮助产业企业积极应对不利影响，提高国际市场竞争力，促进外贸稳中求质，推动外贸转型升级发展。根据文件下达预算资金5</w:t>
      </w:r>
      <w:r>
        <w:rPr>
          <w:rStyle w:val="18"/>
          <w:rFonts w:hint="eastAsia" w:ascii="楷体" w:hAnsi="楷体" w:eastAsia="楷体"/>
          <w:b w:val="0"/>
          <w:bCs w:val="0"/>
          <w:spacing w:val="-4"/>
          <w:sz w:val="32"/>
          <w:szCs w:val="32"/>
          <w:lang w:val="en-US" w:eastAsia="zh-CN"/>
        </w:rPr>
        <w:t>47</w:t>
      </w:r>
      <w:r>
        <w:rPr>
          <w:rStyle w:val="18"/>
          <w:rFonts w:hint="eastAsia" w:ascii="楷体" w:hAnsi="楷体" w:eastAsia="楷体"/>
          <w:b w:val="0"/>
          <w:bCs w:val="0"/>
          <w:spacing w:val="-4"/>
          <w:sz w:val="32"/>
          <w:szCs w:val="32"/>
        </w:rPr>
        <w:t>万元，特制定本项目。为我县新疆心连心能源化工有限公司加工贸易转型升级项目获得300万元项目资金支持、进口贴息获得44万元项目资金支持；为新疆源一科创有限公司、玛纳斯县祥云化纤有限公司推动外贸稳规模优结构项目分别补贴180万元、23万元项目资金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新疆心连心能源化工有限公司加工贸易转型升级项目级贷款贴息主要用于年产6万吨聚甲醛项目建设投资，建成后可缓解我国塑料加工业对该产品的国际需求，有利于企业向精细化工高附加值领域的迈进，增强国际竞争力。新疆源一科创有限公司推动外贸稳规模优结构项目是为特种工业用研磨纸开发与应用，属于企业自主研发项目，有利于企业技术创新，提升我国先进制造水平，促进社会经济发展。玛纳斯县祥云化纤有限公司推动外贸稳规模优结构项目是为适应市场需求、持续提升产品质量和市场竞争力，通过设备维护与保养使用，实现产品升级，提升企业盈利能力，增大公司出口规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组织实施：为确保该项目顺利实施，本单位成立了项目领导小组如下： 组长：党组书记郝亮；副组长：党组副书记、局长张志鹏；党组成员、副局长丁胜（项目分管领导）；成员：王欢、文慧，以副局长丁胜带头，带领成员，对项目落地实施、工程进度、工程质量监督进行落实。其他成员配合做好项目的监督审核工作，本单位将项目支出预算纳入全过程绩效管理，为加快财政预算支出进度和强化绩效理念，我单位成立了绩效管理领导小组如下：组长：张志鹏 局长；副组长：丁胜 副局长；成员：王欢、文慧。 绩效工作负责人分工：组长主抓绩效总体工作，副组长对绩效管理工作及项目实施情况进行具体工作安排，成员王欢、文慧具体对各绩效管理进行具体实施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2024年第二批外经贸发展补贴项目预算安排总额为547万元，其中财政资金547万元，其他资金0万元，2024年实际收到预算资金547万元，预算资金到位率为100%。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第二批外经贸发展补贴项目实际支付资金547万元，预算执行率100%。结转结余资金0万元。项目资金主要用于企业转型升级发展，稳中求质，积极应对不利影响，切实提高在国际市场的竞争力等方面。</w:t>
      </w:r>
    </w:p>
    <w:p w14:paraId="1CB5EDC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DB91D5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第二批外经贸发展补贴项目绩效总体目标为：本项目拟投入547万元，对我县心连心能源有限公司、源一科创有限公司和祥云化纤有限公司给给与补贴，通过补贴进一步改善我县外贸企业营商环境，推动外贸企业转型升级，进一步强化应对不利影响的能力，提升国际市场竞争力，从而推动贸易企业进出口增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w:t>
      </w:r>
      <w:bookmarkStart w:id="0" w:name="_GoBack"/>
      <w:r>
        <w:rPr>
          <w:rStyle w:val="18"/>
          <w:rFonts w:hint="eastAsia" w:ascii="楷体" w:hAnsi="楷体" w:eastAsia="楷体"/>
          <w:b w:val="0"/>
          <w:bCs w:val="0"/>
          <w:spacing w:val="-4"/>
          <w:sz w:val="32"/>
          <w:szCs w:val="32"/>
        </w:rPr>
        <w:t>《</w:t>
      </w:r>
      <w:bookmarkEnd w:id="0"/>
      <w:r>
        <w:rPr>
          <w:rStyle w:val="18"/>
          <w:rFonts w:hint="eastAsia" w:ascii="楷体" w:hAnsi="楷体" w:eastAsia="楷体"/>
          <w:b w:val="0"/>
          <w:bCs w:val="0"/>
          <w:spacing w:val="-4"/>
          <w:sz w:val="32"/>
          <w:szCs w:val="32"/>
        </w:rPr>
        <w:t>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“补助企业数”指标，预期指标值为3家；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“资金拨付合规性”指标，预期指标值为100%；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“新疆心连心能源化工有限公司补贴金额”指标，预期指标值为344万元；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“新建源一科创有限公司补贴金额”指标，预期指标值为180万元；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“玛纳斯县祥云化纤有限公司补贴金额”指标，预期指标值为23万元；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“改善外经贸企业营商环境”指标，预期指标值为有效改善；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本项目不存在生态效益；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“受补贴企业满意度”指标，预期指标值为100%。</w:t>
      </w:r>
    </w:p>
    <w:p w14:paraId="28AC09C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6CCB8D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A3C3E2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此次我单位根据《财政支出绩效评价管理暂行办法》（财预〔2020〕10号）文件要求对2024年度我单位实施的2024年第二批外经贸发展补贴项目开展部门绩效评价。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3871553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3C7E44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第二批外经贸发展补贴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6A10431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003F88D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第二批外经贸发展补贴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1F97967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8F72DE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第二批外经贸发展补贴项目绩效进行客观评价，最终评分结果：总分为100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表3-1：2024年第二批外经贸发展补贴项目得分表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46A8690D">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62DBF8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6A706122">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③项目根据《关于拨付2024年第二批外经贸发展专项资金的通知》（昌州财建[2024]110号）下达预算资金设立。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387CA4FE">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2CDDFD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资金到位率=（547/547）×100%。=100%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预算执行率=（547/547）×100%。=100%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为加强我单位预算管理、规范财务行为我单位制定了《玛纳斯县商务工信局内部控制规范》《玛纳斯县商务工信局项目管理规范》等资金管理制度，已建立制度均健全且有效运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3935EDF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6D21EEA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补助企业数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=3家</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=3家</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资金拨付合规性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资金拨付及时率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新疆心连心能源化工有限公司补贴金额</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=344万元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=344万元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新建源一科创有限公司补贴金额</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=180万元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=180万元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玛纳斯县祥云化纤有限公司补贴金额</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=23万元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=23万元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“补助企业数”指标，预期指标值为=3家，实际完成为3家。实际完成率=（3/3）×100%=100%。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2.项目完成质量“资金拨付合规性”指标，预期指标值为=100%，实际完成为100%。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3.项目完成时效“资金拨付及时率”指标，预期指标值为&gt;=80%，实际完成为100%。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4.项目完成成本“新疆心连心能源化工有限公司补贴金额”指标，预期指标值为&lt;=344万元，实际完成为344万元。实际完成率=（344/344）×100%=100%。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5.项目完成成本“新建源一科创有限公司补贴金额”指标，预期指标值为&lt;=180万元，实际完成为180万元。实际完成率=（180/180）×100%=100%。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6.项目完成成本“玛纳斯县祥云化纤有限公司补贴金额”指标，预期指标值为&lt;=23万元，实际完成为23万元。实际完成率=（23/23）×100%=100%。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14:paraId="48B75D7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A0596A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改善外经贸企业营商环境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可持续影响指标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对外贸行业可持续发展的影响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积极提高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积极提高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受补贴企业满意度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“改善外经贸企业营商环境”指标，预期指标值为有效改善，实际完成为有效改善。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通过项目的实施，进一步改善了我县外贸企业营商环境，切实推动了外贸企业转型升级，从而推动贸易企业进出口增速。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“对外贸行业可持续发展的影响”指标，预期指标值为积极提高，实际完成为积极提高。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通过项目的实施，提高了出口产品质量，增强了企业产品出口运输能力，进一步提高我县企业外贸竞争力。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624479B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5.满意度指标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“受补贴企业满意度”指标，预期指标值为100%，实际完成为100%。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14:paraId="16F084BD">
      <w:pPr>
        <w:spacing w:line="540" w:lineRule="exact"/>
        <w:ind w:firstLine="567"/>
        <w:rPr>
          <w:rStyle w:val="18"/>
          <w:rFonts w:hint="eastAsia" w:ascii="楷体" w:hAnsi="楷体" w:eastAsia="楷体"/>
          <w:b w:val="0"/>
          <w:bCs w:val="0"/>
          <w:spacing w:val="-4"/>
          <w:sz w:val="32"/>
          <w:szCs w:val="32"/>
        </w:rPr>
      </w:pPr>
    </w:p>
    <w:p w14:paraId="3B496465">
      <w:pPr>
        <w:spacing w:line="540" w:lineRule="exact"/>
        <w:ind w:firstLine="567"/>
        <w:rPr>
          <w:rStyle w:val="18"/>
          <w:rFonts w:ascii="楷体" w:hAnsi="楷体" w:eastAsia="楷体"/>
          <w:spacing w:val="-4"/>
          <w:sz w:val="32"/>
          <w:szCs w:val="32"/>
        </w:rPr>
      </w:pPr>
    </w:p>
    <w:p w14:paraId="535030C4">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F4E1F7B">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2024年第二批外经贸发展补贴项目2024年预算数为547万元，截至2024年12月31日共支出547万元，预算执行率为100%。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商务工信局建立健全了预算管理规章制度，各部门严格按预算编制的原则和要求做好当年预算编制工作，在预算绩效管理工作中，做到合理安排各项资金，重点保障基本支出，按轻重缓急顺序原则，优先安排了玛纳斯县商务工信局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一是业务人员绩效管理意识有待加强，未能全面深入认识绩效管理工作的意义；二是业务人员业务水平不高，绩效指标的科学性、明确性、可衡量性及相关性还需进一步加强。</w:t>
      </w:r>
    </w:p>
    <w:p w14:paraId="6AB45C8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4A2FA180">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对项目决策的建议： 规范项目管理，加快项目实施；加强资金管理，规范资金使用；树立绩效理念，加强目标管理。运用科学合理的评估方法，将项目开展的必要性，投入社会效益性、绩效目标倒是性，实施方案可行性、筹资合规性等因素作为事前绩效评估的必要条件，针对性地对项目进行完事全方位的评估审核后再审批项目。一是继续加大绩效工作宣传力度，强化绩效理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预算安排的建议：做细做实项目资金预算，建立项目预算执行监控机制，合理合规使用项目资金，定期分析项目支出执行进度。财政部门加强对项目的预算审核及绩效评估，制定相对应的考核标准和罚制度，与年底的单位绩效考核相关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资金管理的建议：财政部门应不定期对项目资金使用情况进行检查，确保资金专款专用。项目的业主单位应组织项目验收，对验收合格按照合同约定支付项目进度款以保证项目绩效监控的合理性，对验收不合格的应尽快组织实施项目单位进行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项目管理的建议：加强项目绩效管理完善全过程预算绩效管理模式和问责机制，进一步完善全过程实施全过过程的绩效管理机制，从项目绩效目标编制审核入手，加强财政资金的跟踪问效，及时纯正绩效偏差，延伸财政管理链条，提升精细化管理水平，提高财政资金的使用效益，以立项环节为抓手建立财政资金管理项目库，建立规范、高效的财政预算绩效支行机制，进一步加强财政项目的资金管理，优化资金配置，推进统筹使用，提高资金使用效益。</w:t>
      </w:r>
    </w:p>
    <w:p w14:paraId="36BD3D1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1E89C94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3962BB7C">
      <w:pPr>
        <w:spacing w:line="540" w:lineRule="exact"/>
        <w:ind w:firstLine="567"/>
        <w:rPr>
          <w:rStyle w:val="18"/>
          <w:rFonts w:ascii="仿宋" w:hAnsi="仿宋" w:eastAsia="仿宋"/>
          <w:b w:val="0"/>
          <w:spacing w:val="-4"/>
          <w:sz w:val="32"/>
          <w:szCs w:val="32"/>
        </w:rPr>
      </w:pPr>
    </w:p>
    <w:p w14:paraId="6D0A9A24">
      <w:pPr>
        <w:spacing w:line="540" w:lineRule="exact"/>
        <w:ind w:firstLine="567"/>
        <w:rPr>
          <w:rStyle w:val="18"/>
          <w:rFonts w:ascii="仿宋" w:hAnsi="仿宋" w:eastAsia="仿宋"/>
          <w:b w:val="0"/>
          <w:spacing w:val="-4"/>
          <w:sz w:val="32"/>
          <w:szCs w:val="32"/>
        </w:rPr>
      </w:pPr>
    </w:p>
    <w:p w14:paraId="1D9E854C">
      <w:pPr>
        <w:spacing w:line="540" w:lineRule="exact"/>
        <w:ind w:firstLine="567"/>
        <w:rPr>
          <w:rStyle w:val="18"/>
          <w:rFonts w:ascii="仿宋" w:hAnsi="仿宋" w:eastAsia="仿宋"/>
          <w:b w:val="0"/>
          <w:spacing w:val="-4"/>
          <w:sz w:val="32"/>
          <w:szCs w:val="32"/>
        </w:rPr>
      </w:pPr>
    </w:p>
    <w:p w14:paraId="6CDCD902">
      <w:pPr>
        <w:spacing w:line="540" w:lineRule="exact"/>
        <w:ind w:firstLine="567"/>
        <w:rPr>
          <w:rStyle w:val="18"/>
          <w:rFonts w:ascii="仿宋" w:hAnsi="仿宋" w:eastAsia="仿宋"/>
          <w:b w:val="0"/>
          <w:spacing w:val="-4"/>
          <w:sz w:val="32"/>
          <w:szCs w:val="32"/>
        </w:rPr>
      </w:pPr>
    </w:p>
    <w:p w14:paraId="3453A3B4">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A3F26EE">
        <w:pPr>
          <w:pStyle w:val="12"/>
          <w:jc w:val="center"/>
        </w:pPr>
        <w:r>
          <w:fldChar w:fldCharType="begin"/>
        </w:r>
        <w:r>
          <w:instrText xml:space="preserve">PAGE   \* MERGEFORMAT</w:instrText>
        </w:r>
        <w:r>
          <w:fldChar w:fldCharType="separate"/>
        </w:r>
        <w:r>
          <w:rPr>
            <w:lang w:val="zh-CN"/>
          </w:rPr>
          <w:t>2</w:t>
        </w:r>
        <w:r>
          <w:fldChar w:fldCharType="end"/>
        </w:r>
      </w:p>
    </w:sdtContent>
  </w:sdt>
  <w:p w14:paraId="56D60F5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2C34E3"/>
    <w:rsid w:val="0856517C"/>
    <w:rsid w:val="0BFB189F"/>
    <w:rsid w:val="0F58071E"/>
    <w:rsid w:val="11BD75F7"/>
    <w:rsid w:val="13BE561A"/>
    <w:rsid w:val="14381B1E"/>
    <w:rsid w:val="15392994"/>
    <w:rsid w:val="18FE139B"/>
    <w:rsid w:val="2A2004C9"/>
    <w:rsid w:val="3029612C"/>
    <w:rsid w:val="32A221C5"/>
    <w:rsid w:val="33F20F2A"/>
    <w:rsid w:val="34C44675"/>
    <w:rsid w:val="3B5B5607"/>
    <w:rsid w:val="3CE21B3C"/>
    <w:rsid w:val="46AD611F"/>
    <w:rsid w:val="4D2606A1"/>
    <w:rsid w:val="4FFF0C50"/>
    <w:rsid w:val="51830480"/>
    <w:rsid w:val="53A616BE"/>
    <w:rsid w:val="54662BFB"/>
    <w:rsid w:val="5BEC1ECD"/>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7264</Words>
  <Characters>7677</Characters>
  <Lines>4</Lines>
  <Paragraphs>1</Paragraphs>
  <TotalTime>12</TotalTime>
  <ScaleCrop>false</ScaleCrop>
  <LinksUpToDate>false</LinksUpToDate>
  <CharactersWithSpaces>7874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薇子</cp:lastModifiedBy>
  <cp:lastPrinted>2018-12-31T10:56:00Z</cp:lastPrinted>
  <dcterms:modified xsi:type="dcterms:W3CDTF">2025-09-04T07:50:57Z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eyJoZGlkIjoiNzU2MGExNzM5Mjc3Y2Q4NGNhODkwMGM1MjAwYmRiYTYiLCJ1c2VySWQiOiI2MDEwNDg3MzIifQ==</vt:lpwstr>
  </property>
</Properties>
</file>