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880" w:hanging="2880" w:hangingChars="800"/>
        <w:jc w:val="left"/>
        <w:rPr>
          <w:rFonts w:hAnsi="宋体" w:eastAsia="仿宋_GB2312" w:cs="宋体"/>
          <w:kern w:val="0"/>
          <w:sz w:val="36"/>
          <w:szCs w:val="36"/>
        </w:rPr>
      </w:pPr>
      <w:r>
        <w:rPr>
          <w:rFonts w:hint="eastAsia" w:hAnsi="宋体" w:eastAsia="仿宋_GB2312" w:cs="宋体"/>
          <w:kern w:val="0"/>
          <w:sz w:val="36"/>
          <w:szCs w:val="36"/>
        </w:rPr>
        <w:t xml:space="preserve">     项目名称：玛纳斯县“井电双控”设备及信息系统建设项目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实施单位（公章）：玛纳斯县水利局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项目负责人（签章）：王磊</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 年1月13日</w:t>
      </w:r>
    </w:p>
    <w:p>
      <w:pPr>
        <w:spacing w:line="540" w:lineRule="exact"/>
        <w:jc w:val="center"/>
        <w:rPr>
          <w:rFonts w:hAnsi="宋体" w:eastAsia="仿宋_GB2312" w:cs="宋体"/>
          <w:kern w:val="0"/>
          <w:sz w:val="30"/>
          <w:szCs w:val="30"/>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玛纳斯县水利局为行政机关单位，实有在职人员7人，下</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属全额事业单位4个，水利工程质量监督站实有7人，水政办</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实有参公人员1名，事业人员11名，水土保持监督站实有人员</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2名，防汛抗旱指挥部实有人员2名。其职责为负责《水法》</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《水土保持法》等水法律、法规的组织实施和监督检查，拟定</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全县水行政的政策措施、发展战略和中长期规划，并依法监督</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实施。统一管理全县水资源，拟定节约用水政策，编制节约用</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水规划，制定有关标准，拟定水资源保护规划，拟定水利、水</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电、水产行业的经济调节措施，管理和监督水利部门国有资产</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的保值增值，对水利资金的收缴、使用进行监督检查。组织编</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制和軍査全县境内水利、水电、水产基本建设项目建议书和可</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行性报告及初步设计。负责全县水利设施、水域及其岸线的管理理与保护，负责县内主要河流、水库的综合治理及开发利用工作，负责全县水保工作，负责全县防汛抗旱指挥部</w:t>
      </w:r>
      <w:bookmarkStart w:id="0" w:name="_GoBack"/>
      <w:bookmarkEnd w:id="0"/>
      <w:r>
        <w:rPr>
          <w:rStyle w:val="18"/>
          <w:rFonts w:hint="eastAsia" w:ascii="仿宋" w:hAnsi="仿宋" w:eastAsia="仿宋"/>
          <w:b w:val="0"/>
          <w:spacing w:val="-4"/>
          <w:sz w:val="32"/>
          <w:szCs w:val="32"/>
        </w:rPr>
        <w:t>的日常工作，负责水利系统的党建、纪检、组织、宣传、千部人事管理、精神文明建设工作，承办县人民政府交办的其他事项。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ind w:firstLine="435"/>
        <w:rPr>
          <w:rFonts w:ascii="仿宋" w:hAnsi="仿宋" w:eastAsia="仿宋" w:cs="仿宋"/>
          <w:sz w:val="30"/>
          <w:szCs w:val="30"/>
        </w:rPr>
      </w:pPr>
      <w:r>
        <w:rPr>
          <w:rFonts w:hint="eastAsia" w:ascii="仿宋" w:hAnsi="仿宋" w:eastAsia="仿宋" w:cs="仿宋"/>
          <w:sz w:val="30"/>
          <w:szCs w:val="30"/>
        </w:rPr>
        <w:t>采购“井电双控”计量控制设备（不含远传模块）217套及（含远传模块）626套，配套安装附件及动力电缆；改造全县843眼机电井，并采购无线超声波水表843台（套），配套安装附件及水表防护箱；采购刷卡缴费管理软件1套，采购机电井信息化监控管理软件1套，服务器1台，不间断电源1套。</w:t>
      </w:r>
    </w:p>
    <w:p>
      <w:pPr>
        <w:spacing w:line="540" w:lineRule="exact"/>
        <w:ind w:firstLine="543" w:firstLineChars="181"/>
        <w:rPr>
          <w:rFonts w:ascii="仿宋" w:hAnsi="仿宋" w:eastAsia="仿宋" w:cs="仿宋"/>
          <w:bCs/>
          <w:sz w:val="30"/>
          <w:szCs w:val="30"/>
        </w:rPr>
      </w:pPr>
      <w:r>
        <w:rPr>
          <w:rFonts w:hint="eastAsia" w:cs="仿宋"/>
          <w:bCs/>
          <w:sz w:val="30"/>
          <w:szCs w:val="30"/>
        </w:rPr>
        <w:t>项目于2016年3月开始，计划于2018年5月完工。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该项目总投资为：888.024万，全部为县级财政专项资金，2018年安排预算资金74.5万元用于支付工程款。</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截止2018年12月31日，项目已全部完工，当年支付工程款74.5万元。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本项目为玛纳斯县专项资金项目，项目由玛纳斯县水利局实施，建设内容符合项目预算，项目由县水利局监督实施，按照项目进度支付工程款，最终县水政办及组织相关部门组成验收小组进行验收。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于2016年3月由玛纳斯县政府采购中心执行招标，中标单位为青岛恒泽水利科技有限公司，玛纳斯县水利局与中标单位签订项目合同协议书。原合同为819眼机电井智能表安装，2018年补充合同新增安装24眼井智能水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项目实施，具体由县水利局进行监督管理，项目主要抓好项目工作进度，为做好项目的各项内容顺利实施，特制定各相关制度，保障项目按期完成。</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Fonts w:ascii="仿宋" w:hAnsi="仿宋" w:eastAsia="仿宋"/>
          <w:bCs/>
          <w:spacing w:val="-4"/>
          <w:sz w:val="32"/>
          <w:szCs w:val="32"/>
        </w:rPr>
      </w:pPr>
      <w:r>
        <w:rPr>
          <w:rStyle w:val="18"/>
          <w:rFonts w:hint="eastAsia" w:ascii="仿宋" w:hAnsi="仿宋" w:eastAsia="仿宋"/>
          <w:b w:val="0"/>
          <w:spacing w:val="-4"/>
          <w:sz w:val="32"/>
          <w:szCs w:val="32"/>
        </w:rPr>
        <w:t>全县843眼机电井全部安装“井电双控”智能计量设施后，增强了用水户节约用水、依法用水意识，准确掌握机电井取水量，提高水资源管理水平，详细掌握地下水用水情况，对超定额的用水户实施“累进加价”，严格控制地下水开采，为更好实现玛纳斯县地下水“总量控制、定额管理”做好基础工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项目评价工作中评价基础数据主要来自于项目预算及项目实施工作台账。资料由项目业主单位提供，县水利局辅助整理和项目实施过程及完工后验收都有相关的建设照片进行佐证，项目现场由县水利局组织完成自验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hint="eastAsia" w:ascii="宋体" w:hAnsi="宋体" w:cs="宋体"/>
                <w:b/>
                <w:bCs/>
                <w:kern w:val="0"/>
                <w:sz w:val="32"/>
                <w:szCs w:val="32"/>
              </w:rPr>
            </w:pPr>
          </w:p>
          <w:p>
            <w:pPr>
              <w:widowControl/>
              <w:jc w:val="center"/>
              <w:rPr>
                <w:rFonts w:hint="eastAsia" w:ascii="宋体" w:hAnsi="宋体" w:cs="宋体"/>
                <w:b/>
                <w:bCs/>
                <w:kern w:val="0"/>
                <w:sz w:val="32"/>
                <w:szCs w:val="32"/>
              </w:rPr>
            </w:pPr>
          </w:p>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玛纳斯县“井电双控”设备及信息化系统建设项目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玛纳斯县水利局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预算</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执行</w:t>
            </w:r>
            <w:r>
              <w:rPr>
                <w:rFonts w:hint="eastAsia" w:ascii="宋体" w:hAnsi="宋体" w:cs="宋体"/>
                <w:color w:val="auto"/>
                <w:kern w:val="0"/>
                <w:sz w:val="20"/>
                <w:szCs w:val="20"/>
              </w:rPr>
              <w:br w:type="textWrapping"/>
            </w:r>
            <w:r>
              <w:rPr>
                <w:rFonts w:hint="eastAsia" w:ascii="宋体" w:hAnsi="宋体" w:cs="宋体"/>
                <w:color w:val="auto"/>
                <w:kern w:val="0"/>
                <w:sz w:val="20"/>
                <w:szCs w:val="20"/>
              </w:rPr>
              <w:t>情况</w:t>
            </w:r>
            <w:r>
              <w:rPr>
                <w:rFonts w:hint="eastAsia" w:ascii="宋体" w:hAnsi="宋体" w:cs="宋体"/>
                <w:color w:val="auto"/>
                <w:kern w:val="0"/>
                <w:sz w:val="20"/>
                <w:szCs w:val="20"/>
              </w:rPr>
              <w:br w:type="textWrapping"/>
            </w:r>
            <w:r>
              <w:rPr>
                <w:rFonts w:hint="eastAsia" w:ascii="宋体" w:hAnsi="宋体" w:cs="宋体"/>
                <w:color w:val="auto"/>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74.5</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rPr>
            </w:pPr>
            <w:r>
              <w:rPr>
                <w:rFonts w:hint="eastAsia" w:ascii="宋体" w:hAnsi="宋体" w:cs="宋体"/>
                <w:color w:val="auto"/>
                <w:kern w:val="0"/>
                <w:sz w:val="20"/>
                <w:szCs w:val="20"/>
              </w:rPr>
              <w:t>74.5</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rPr>
            </w:pPr>
            <w:r>
              <w:rPr>
                <w:rFonts w:hint="eastAsia" w:ascii="宋体" w:hAnsi="宋体" w:cs="宋体"/>
                <w:color w:val="auto"/>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74.5</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color w:val="auto"/>
                <w:kern w:val="0"/>
                <w:sz w:val="20"/>
                <w:szCs w:val="20"/>
              </w:rPr>
            </w:pPr>
            <w:r>
              <w:rPr>
                <w:rFonts w:hint="eastAsia" w:ascii="宋体" w:hAnsi="宋体" w:cs="宋体"/>
                <w:color w:val="auto"/>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rPr>
            </w:pPr>
            <w:r>
              <w:rPr>
                <w:rFonts w:hint="eastAsia" w:ascii="宋体" w:hAnsi="宋体" w:cs="宋体"/>
                <w:color w:val="auto"/>
                <w:kern w:val="0"/>
                <w:sz w:val="20"/>
                <w:szCs w:val="20"/>
              </w:rPr>
              <w:t>74.5</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p>
          <w:p>
            <w:pPr>
              <w:widowControl/>
              <w:jc w:val="left"/>
              <w:rPr>
                <w:rFonts w:ascii="宋体" w:hAnsi="宋体" w:cs="宋体"/>
                <w:kern w:val="0"/>
                <w:sz w:val="20"/>
                <w:szCs w:val="20"/>
              </w:rPr>
            </w:pPr>
            <w:r>
              <w:rPr>
                <w:rFonts w:ascii="宋体" w:hAnsi="宋体" w:cs="宋体"/>
                <w:kern w:val="0"/>
                <w:sz w:val="20"/>
                <w:szCs w:val="20"/>
              </w:rPr>
              <w:tab/>
            </w:r>
            <w:r>
              <w:rPr>
                <w:rFonts w:hint="eastAsia" w:ascii="宋体" w:hAnsi="宋体" w:cs="宋体"/>
                <w:kern w:val="0"/>
                <w:sz w:val="20"/>
                <w:szCs w:val="20"/>
              </w:rPr>
              <w:t>采购“井电双控”计量控制设备（不含远传模块）217套及（含远传模块）626套，配套安装附件及动力电缆；改造全县843眼机电井，并采购无线超声波水表843台（套），配套安装附件及水表防护箱；采购刷卡缴费管理软件1套，采购机电井信息化监控管理软件1套，服务器1台，不间断电源1套。2018年增加24眼机井智能表安装。</w:t>
            </w:r>
          </w:p>
          <w:p>
            <w:pPr>
              <w:widowControl/>
              <w:jc w:val="left"/>
              <w:rPr>
                <w:rFonts w:ascii="宋体" w:hAnsi="宋体" w:cs="宋体"/>
                <w:kern w:val="0"/>
                <w:sz w:val="20"/>
                <w:szCs w:val="20"/>
              </w:rPr>
            </w:pPr>
            <w:r>
              <w:rPr>
                <w:rFonts w:hint="eastAsia" w:ascii="宋体" w:hAnsi="宋体" w:cs="宋体"/>
                <w:kern w:val="0"/>
                <w:sz w:val="20"/>
                <w:szCs w:val="20"/>
              </w:rPr>
              <w:t>项目于2016年3月开始，计划于2018年5月完工。</w:t>
            </w:r>
          </w:p>
          <w:p>
            <w:pPr>
              <w:tabs>
                <w:tab w:val="left" w:pos="1490"/>
              </w:tabs>
              <w:rPr>
                <w:rFonts w:ascii="宋体" w:hAnsi="宋体" w:cs="宋体"/>
                <w:sz w:val="20"/>
                <w:szCs w:val="20"/>
              </w:rPr>
            </w:pP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p>
          <w:p>
            <w:pPr>
              <w:widowControl/>
              <w:jc w:val="left"/>
              <w:rPr>
                <w:rFonts w:ascii="宋体" w:hAnsi="宋体" w:cs="宋体"/>
                <w:kern w:val="0"/>
                <w:sz w:val="20"/>
                <w:szCs w:val="20"/>
              </w:rPr>
            </w:pPr>
            <w:r>
              <w:rPr>
                <w:rFonts w:hint="eastAsia" w:ascii="宋体" w:hAnsi="宋体" w:cs="宋体"/>
                <w:kern w:val="0"/>
                <w:sz w:val="20"/>
                <w:szCs w:val="20"/>
              </w:rPr>
              <w:t>全县843眼机电井全部安装了无线超声波水表以及配套附件、动力电缆以及水表防护箱；刷卡缴费管理软件1套；机电井信息化监控管理软件1套；服务器1台；不间断电源1套。2018年增加24眼机井智能表安装。</w:t>
            </w:r>
          </w:p>
          <w:p>
            <w:pPr>
              <w:widowControl/>
              <w:jc w:val="left"/>
              <w:rPr>
                <w:rFonts w:ascii="宋体" w:hAnsi="宋体" w:cs="宋体"/>
                <w:sz w:val="20"/>
                <w:szCs w:val="20"/>
              </w:rPr>
            </w:pP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指标1：843台无线超声波水表以及配套安装附件及水表防护箱</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843套</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843套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指标2：采购刷卡缴费管理软件1套</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1套</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指标3：机电井信息化监控管理软件1套</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1套</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指标4：服务器1台</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1台</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指标1：工程验收合格率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指标1：2018年12月31日完成率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指标1：财政投资</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74.5万元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74.5万元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指标1：加快水资源信息化建设</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是</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是</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指标2：实现地下水量的精准计量、精准收费</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是</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是</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指标1：提高地下水资源的远程监控</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是</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是</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指标1：有效节约地下水水资源</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是</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是</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指标1：有效管理地下水资源，确保地下水资源的合理开发利用</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长期</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长期</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100%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24291"/>
    <w:rsid w:val="000526E6"/>
    <w:rsid w:val="00056465"/>
    <w:rsid w:val="00060F6C"/>
    <w:rsid w:val="00121AE4"/>
    <w:rsid w:val="00143D72"/>
    <w:rsid w:val="00146AAD"/>
    <w:rsid w:val="001B3A40"/>
    <w:rsid w:val="0026654B"/>
    <w:rsid w:val="002B171F"/>
    <w:rsid w:val="0031062F"/>
    <w:rsid w:val="0031530D"/>
    <w:rsid w:val="00317E52"/>
    <w:rsid w:val="003C18BC"/>
    <w:rsid w:val="003E3139"/>
    <w:rsid w:val="00413F20"/>
    <w:rsid w:val="00422EE1"/>
    <w:rsid w:val="004366A8"/>
    <w:rsid w:val="00464900"/>
    <w:rsid w:val="00502BA7"/>
    <w:rsid w:val="005162F1"/>
    <w:rsid w:val="00535153"/>
    <w:rsid w:val="00554F82"/>
    <w:rsid w:val="0056390D"/>
    <w:rsid w:val="00565078"/>
    <w:rsid w:val="005719B0"/>
    <w:rsid w:val="00591EFF"/>
    <w:rsid w:val="0059314F"/>
    <w:rsid w:val="005C67EE"/>
    <w:rsid w:val="005D10D6"/>
    <w:rsid w:val="0063364F"/>
    <w:rsid w:val="00644272"/>
    <w:rsid w:val="00655B46"/>
    <w:rsid w:val="0069297B"/>
    <w:rsid w:val="006F6783"/>
    <w:rsid w:val="007236A0"/>
    <w:rsid w:val="007342F0"/>
    <w:rsid w:val="0078046E"/>
    <w:rsid w:val="007806A5"/>
    <w:rsid w:val="00820107"/>
    <w:rsid w:val="00855E3A"/>
    <w:rsid w:val="00922CB9"/>
    <w:rsid w:val="0094605D"/>
    <w:rsid w:val="00987791"/>
    <w:rsid w:val="009E5CD9"/>
    <w:rsid w:val="00A167DA"/>
    <w:rsid w:val="00A26421"/>
    <w:rsid w:val="00A4293B"/>
    <w:rsid w:val="00A52CCC"/>
    <w:rsid w:val="00A67D50"/>
    <w:rsid w:val="00A8691A"/>
    <w:rsid w:val="00AC1946"/>
    <w:rsid w:val="00AC343B"/>
    <w:rsid w:val="00AF626B"/>
    <w:rsid w:val="00B40063"/>
    <w:rsid w:val="00B41F61"/>
    <w:rsid w:val="00B71497"/>
    <w:rsid w:val="00BA46E6"/>
    <w:rsid w:val="00C56C72"/>
    <w:rsid w:val="00CA255D"/>
    <w:rsid w:val="00CA6457"/>
    <w:rsid w:val="00CC777D"/>
    <w:rsid w:val="00D17F2E"/>
    <w:rsid w:val="00D30354"/>
    <w:rsid w:val="00D54624"/>
    <w:rsid w:val="00D87ACE"/>
    <w:rsid w:val="00DB7DC5"/>
    <w:rsid w:val="00DC6087"/>
    <w:rsid w:val="00DF42A0"/>
    <w:rsid w:val="00E46C51"/>
    <w:rsid w:val="00E769FE"/>
    <w:rsid w:val="00E934A1"/>
    <w:rsid w:val="00EA2CBE"/>
    <w:rsid w:val="00F146E5"/>
    <w:rsid w:val="00F32FEE"/>
    <w:rsid w:val="00F5179A"/>
    <w:rsid w:val="00FB10BB"/>
    <w:rsid w:val="00FC40CE"/>
    <w:rsid w:val="02E14C54"/>
    <w:rsid w:val="553C40C4"/>
    <w:rsid w:val="63C42FF6"/>
    <w:rsid w:val="6CF10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41E042-59E5-4905-B7E7-2769BDCDAB53}">
  <ds:schemaRefs/>
</ds:datastoreItem>
</file>

<file path=docProps/app.xml><?xml version="1.0" encoding="utf-8"?>
<Properties xmlns="http://schemas.openxmlformats.org/officeDocument/2006/extended-properties" xmlns:vt="http://schemas.openxmlformats.org/officeDocument/2006/docPropsVTypes">
  <Template>Normal</Template>
  <Pages>7</Pages>
  <Words>425</Words>
  <Characters>2429</Characters>
  <Lines>20</Lines>
  <Paragraphs>5</Paragraphs>
  <TotalTime>211</TotalTime>
  <ScaleCrop>false</ScaleCrop>
  <LinksUpToDate>false</LinksUpToDate>
  <CharactersWithSpaces>2849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2024-03-28T10:35:23Z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