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项目名称：最严格水资源管理经费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实施单位（公章）：玛纳斯县水利局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主管部门（公章）：玛纳斯县水利局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周立华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 年1月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玛纳斯县水利局为行政机关单位，实有在职人员7人，下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属全额事业单位4个，水利工程质量监督站实有7人，水政办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实有参公人员1名，事业人员11名，水土保持监督站实有人员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2名，防汛抗旱指挥部实有人员2名。其职责为负责《水法》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《水土保持法》等水法律、法规的组织实施和监督检查，拟定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全县水行政的政策措施、发展战略和中长期规划，并依法监督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实施。统一管理全县水资源，拟定节约用水政策，编制节约用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水规划，制定有关标准，拟定水资源保护规划，拟定水利、水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电、水产行业的经济调节措施，管理和监督水利部门国有资产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的保值增值，对水利资金的收缴、使用进行监督检查。组织编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制和軍査全县境内水利、水电、水产基本建设项目建议书和可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行性报告及初步设计。负责全县水利设施、水域及其岸线的管理理与保护，负责县内主要河流、水库的综合治理及开发利用工作，负责全县水保工作，负责全县防汛抗旱指挥部</w:t>
      </w:r>
      <w:bookmarkStart w:id="0" w:name="_GoBack"/>
      <w:bookmarkEnd w:id="0"/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的日常工作，负责水利系统的党建、纪检、组织、宣传、千部人事管理、精神文明建设工作，承办县人民政府交办的其他事项。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《玛纳斯县“十三五”水资源消耗总量和强度双控行动方案》，对用水总量和强度进行双控制。2018年用水总量控制目标为5.2582亿立方，地下水用水总量控制在0.9635亿立方。该年实际用水量为5.2074亿立方，其中地表水为4.2012亿立方，地下水0.9495亿立方，中水0.0567亿立方。其中农业用水为4.5907亿立方，工业用水为0.2377亿立方，生活用水为0.0948亿立方，生态环境补水为0.2842亿立方。万元国内生产总值用水量为283.165立方米，比2015年下降20%，万元工业增加值用水量47.83立方米，比2015年下降13.32%，农业灌溉水利用系数0.6，完成“三条红线”控制指标。</w:t>
      </w:r>
    </w:p>
    <w:p>
      <w:pPr>
        <w:spacing w:line="540" w:lineRule="exact"/>
        <w:ind w:firstLine="543" w:firstLineChars="181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cs="仿宋"/>
          <w:bCs/>
          <w:sz w:val="30"/>
          <w:szCs w:val="30"/>
        </w:rPr>
        <w:t>项目于201</w:t>
      </w:r>
      <w:r>
        <w:rPr>
          <w:rFonts w:hint="eastAsia" w:cs="仿宋"/>
          <w:bCs/>
          <w:sz w:val="30"/>
          <w:szCs w:val="30"/>
          <w:lang w:val="en-US" w:eastAsia="zh-CN"/>
        </w:rPr>
        <w:t>8</w:t>
      </w:r>
      <w:r>
        <w:rPr>
          <w:rFonts w:hint="eastAsia" w:cs="仿宋"/>
          <w:bCs/>
          <w:sz w:val="30"/>
          <w:szCs w:val="30"/>
        </w:rPr>
        <w:t>年3月开始，计划于2018年</w:t>
      </w:r>
      <w:r>
        <w:rPr>
          <w:rFonts w:hint="eastAsia" w:cs="仿宋"/>
          <w:bCs/>
          <w:sz w:val="30"/>
          <w:szCs w:val="30"/>
          <w:lang w:val="en-US" w:eastAsia="zh-CN"/>
        </w:rPr>
        <w:t>12</w:t>
      </w:r>
      <w:r>
        <w:rPr>
          <w:rFonts w:hint="eastAsia" w:cs="仿宋"/>
          <w:bCs/>
          <w:sz w:val="30"/>
          <w:szCs w:val="30"/>
        </w:rPr>
        <w:t>月完工。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该项目总投资为：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20万元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年中追加州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级财政专项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业务经费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，2018年安排预算资金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万元用于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最严格水资源管理工作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截止2018年12月31日，项目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所涉及的工作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已全部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全部完工，项目资金也按照工作实际支付完毕。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专项业务经费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，项目由玛纳斯县水利局实施，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具体工作由玛纳斯县水政水资源管理办公室完成，水政办没有进行独立核算，资金由水利局管理支付。支出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内容符合项目预算，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由县水利局监督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拨付，购置工作用办公用专业用具及各项业务费用开支。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项目资金为专项业务经费，具体工作由水政办人员完成，购置各项物品及耗材由水政办提出申请，水政办主任审核，再由水利局行政办及财务进行采购及支付。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我县认真贯彻落实《国务院关于实行最严格水资源管理制度的意见》和《自治区实行最严格水资源管理制度考核方案》，县委、县人民政府高度重视最严格水资源管理制度落实,积极推进最严格水资源管理工作。</w:t>
      </w:r>
      <w:r>
        <w:rPr>
          <w:rFonts w:hint="eastAsia" w:ascii="仿宋" w:hAnsi="仿宋" w:eastAsia="仿宋" w:cs="仿宋_GB2312"/>
          <w:b/>
          <w:sz w:val="32"/>
          <w:szCs w:val="32"/>
        </w:rPr>
        <w:t>“三条红线”制度方面</w:t>
      </w:r>
      <w:r>
        <w:rPr>
          <w:rFonts w:hint="eastAsia" w:ascii="仿宋" w:hAnsi="仿宋" w:eastAsia="仿宋" w:cs="仿宋_GB2312"/>
          <w:sz w:val="32"/>
          <w:szCs w:val="32"/>
        </w:rPr>
        <w:t>：我县编制出台了《玛纳斯县“十三五”水资源消耗总量和强度双控行动方案》、《玛纳斯县“三条红线”用水总量控制分解方案》和《玛纳斯县计划用水管理办法》；</w:t>
      </w:r>
      <w:r>
        <w:rPr>
          <w:rFonts w:hint="eastAsia" w:ascii="仿宋" w:hAnsi="仿宋" w:eastAsia="仿宋" w:cs="仿宋_GB2312"/>
          <w:b/>
          <w:sz w:val="32"/>
          <w:szCs w:val="32"/>
        </w:rPr>
        <w:t>“河长制”工作方面</w:t>
      </w:r>
      <w:r>
        <w:rPr>
          <w:rFonts w:hint="eastAsia" w:ascii="仿宋" w:hAnsi="仿宋" w:eastAsia="仿宋" w:cs="仿宋_GB2312"/>
          <w:sz w:val="32"/>
          <w:szCs w:val="32"/>
        </w:rPr>
        <w:t>：玛纳斯县设立了由县委书记任组长的“河长制”工作领导小组，编制出台了《玛纳斯县实施河长制工作方案》等相关制度和“一河一策”实施方案；</w:t>
      </w:r>
      <w:r>
        <w:rPr>
          <w:rFonts w:hint="eastAsia" w:ascii="仿宋" w:hAnsi="仿宋" w:eastAsia="仿宋" w:cs="仿宋_GB2312"/>
          <w:b/>
          <w:sz w:val="32"/>
          <w:szCs w:val="32"/>
        </w:rPr>
        <w:t>地下水资源管理制度方面：</w:t>
      </w:r>
      <w:r>
        <w:rPr>
          <w:rFonts w:hint="eastAsia" w:ascii="仿宋" w:hAnsi="仿宋" w:eastAsia="仿宋" w:cs="仿宋_GB2312"/>
          <w:sz w:val="32"/>
          <w:szCs w:val="32"/>
        </w:rPr>
        <w:t>制定出台了《玛纳斯县地下水超采区治理方案》、《玛纳斯县城市供水管网覆盖和禁采区机电井关停方案》、《玛纳斯县非法机电井整治方案》、《玛纳斯县2018年度县域节水型社会建设实施方案》等十几项制度；</w:t>
      </w:r>
      <w:r>
        <w:rPr>
          <w:rFonts w:hint="eastAsia" w:ascii="仿宋" w:hAnsi="仿宋" w:eastAsia="仿宋" w:cs="仿宋_GB2312"/>
          <w:b/>
          <w:sz w:val="32"/>
          <w:szCs w:val="32"/>
        </w:rPr>
        <w:t>水权水价改革工作方面：</w:t>
      </w:r>
      <w:r>
        <w:rPr>
          <w:rFonts w:hint="eastAsia" w:ascii="仿宋" w:hAnsi="仿宋" w:eastAsia="仿宋" w:cs="仿宋_GB2312"/>
          <w:sz w:val="32"/>
          <w:szCs w:val="32"/>
        </w:rPr>
        <w:t>制定出台了《玛纳斯县人民政府关于印发农业水权水价综合改革实施方案的通知》等系列制度；</w:t>
      </w:r>
      <w:r>
        <w:rPr>
          <w:rFonts w:hint="eastAsia" w:ascii="仿宋" w:hAnsi="仿宋" w:eastAsia="仿宋" w:cs="仿宋_GB2312"/>
          <w:b/>
          <w:sz w:val="32"/>
          <w:szCs w:val="32"/>
        </w:rPr>
        <w:t>水功能区保护制度方面：</w:t>
      </w:r>
      <w:r>
        <w:rPr>
          <w:rFonts w:hint="eastAsia" w:ascii="仿宋" w:hAnsi="仿宋" w:eastAsia="仿宋" w:cs="仿宋_GB2312"/>
          <w:sz w:val="32"/>
          <w:szCs w:val="32"/>
        </w:rPr>
        <w:t>制定出台了《玛纳斯县水功能区监督管理办法》、《玛纳斯县饮用水水源地突发环境事件应急预案》、《2018年玛纳斯县环境监测工作方案及职责分工》、《玛纳斯县突发水污染事件应急预案》等系列制度；</w:t>
      </w:r>
      <w:r>
        <w:rPr>
          <w:rFonts w:hint="eastAsia" w:ascii="仿宋" w:hAnsi="仿宋" w:eastAsia="仿宋" w:cs="仿宋_GB2312"/>
          <w:b/>
          <w:sz w:val="32"/>
          <w:szCs w:val="32"/>
        </w:rPr>
        <w:t>水资源管理考核机制建设方面：</w:t>
      </w:r>
      <w:r>
        <w:rPr>
          <w:rFonts w:hint="eastAsia" w:ascii="仿宋" w:hAnsi="仿宋" w:eastAsia="仿宋" w:cs="仿宋_GB2312"/>
          <w:sz w:val="32"/>
          <w:szCs w:val="32"/>
        </w:rPr>
        <w:t>我县将水资源管理纳入各乡镇绩效考核内容，制定了《玛纳斯县实行最严格水资源管理制度考核方案》、《玛纳斯县2018年度水利建设与管理目标考核细则（暂行）》，对全县各乡镇用水强度、用水总量控制指标进行年度考核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用水总量控制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方面</w:t>
      </w:r>
      <w:r>
        <w:rPr>
          <w:rFonts w:hint="eastAsia" w:ascii="仿宋" w:hAnsi="仿宋" w:eastAsia="仿宋" w:cs="仿宋_GB2312"/>
          <w:sz w:val="32"/>
          <w:szCs w:val="32"/>
        </w:rPr>
        <w:t>“三条红线”坚守不破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取水许可制度严格执行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开展农业定额用水工作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严格执行用水计划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推进居民、企业用水效率控制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大力加强水功能区监管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加强水源地保护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地下水超采得到有效治理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地下水监测扎实高效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水政执法不断加强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项目评价工作中评价基础数据主要来自于项目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水政办日常业务工作记录及相关工作资料，购置用品的财务票据及工作佐证照片</w:t>
      </w:r>
      <w:r>
        <w:rPr>
          <w:rFonts w:hint="eastAsia" w:ascii="仿宋_GB2312" w:eastAsia="仿宋_GB2312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最严格水资源管理经费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玛纳斯县水利局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贯彻落实《国务院关于实行最严格水资源管理制度的意见》和《自治区实行最严格水资源管理制度考核方案》，县委、县人民政府高度重视最严格水资源管理制度落实,积极推进最严格水资源管理工作。</w:t>
            </w:r>
          </w:p>
          <w:p>
            <w:pPr>
              <w:tabs>
                <w:tab w:val="left" w:pos="1490"/>
              </w:tabs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用水总量控制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方面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“三条红线”坚守不破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取水许可制度严格执行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开展农业定额用水工作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严格执行用水计划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推进居民、企业用水效率控制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大力加强水功能区监管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加强水源地保护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地下水超采得到有效治理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地下水监测扎实高效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水政执法不断加强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监测方案和水源地安全评估制度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逐步完善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起草制定了《玛纳斯县水功能区监督管理办法》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指标2：万元工业增加值用水量比2015年下降率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13.32%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指标4：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指标1：2018年12月31日完成率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指标1：财政投资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指标1：加快水资源信息化建设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指标2：实现地下水量的精准计量、精准收费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指标1：有效节约地下水水资源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指标1：有效管理地下水资源，确保地下水资源的合理开发利用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考核过关率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291"/>
    <w:rsid w:val="000526E6"/>
    <w:rsid w:val="00056465"/>
    <w:rsid w:val="00060F6C"/>
    <w:rsid w:val="00121AE4"/>
    <w:rsid w:val="00143D72"/>
    <w:rsid w:val="00146AAD"/>
    <w:rsid w:val="001B3A40"/>
    <w:rsid w:val="0026654B"/>
    <w:rsid w:val="002B171F"/>
    <w:rsid w:val="0031062F"/>
    <w:rsid w:val="0031530D"/>
    <w:rsid w:val="00317E52"/>
    <w:rsid w:val="003C18BC"/>
    <w:rsid w:val="003E3139"/>
    <w:rsid w:val="00413F20"/>
    <w:rsid w:val="00422EE1"/>
    <w:rsid w:val="004366A8"/>
    <w:rsid w:val="00464900"/>
    <w:rsid w:val="00502BA7"/>
    <w:rsid w:val="005162F1"/>
    <w:rsid w:val="00535153"/>
    <w:rsid w:val="00554F82"/>
    <w:rsid w:val="0056390D"/>
    <w:rsid w:val="00565078"/>
    <w:rsid w:val="005719B0"/>
    <w:rsid w:val="00591EFF"/>
    <w:rsid w:val="0059314F"/>
    <w:rsid w:val="005C67EE"/>
    <w:rsid w:val="005D10D6"/>
    <w:rsid w:val="0063364F"/>
    <w:rsid w:val="00644272"/>
    <w:rsid w:val="00655B46"/>
    <w:rsid w:val="0069297B"/>
    <w:rsid w:val="006F6783"/>
    <w:rsid w:val="007236A0"/>
    <w:rsid w:val="007342F0"/>
    <w:rsid w:val="0078046E"/>
    <w:rsid w:val="007806A5"/>
    <w:rsid w:val="00820107"/>
    <w:rsid w:val="00855E3A"/>
    <w:rsid w:val="00922CB9"/>
    <w:rsid w:val="0094605D"/>
    <w:rsid w:val="00987791"/>
    <w:rsid w:val="009E5CD9"/>
    <w:rsid w:val="00A167DA"/>
    <w:rsid w:val="00A26421"/>
    <w:rsid w:val="00A4293B"/>
    <w:rsid w:val="00A52CCC"/>
    <w:rsid w:val="00A67D50"/>
    <w:rsid w:val="00A8691A"/>
    <w:rsid w:val="00AC1946"/>
    <w:rsid w:val="00AC343B"/>
    <w:rsid w:val="00AF626B"/>
    <w:rsid w:val="00B40063"/>
    <w:rsid w:val="00B41F61"/>
    <w:rsid w:val="00B71497"/>
    <w:rsid w:val="00BA46E6"/>
    <w:rsid w:val="00C56C72"/>
    <w:rsid w:val="00CA255D"/>
    <w:rsid w:val="00CA6457"/>
    <w:rsid w:val="00CC777D"/>
    <w:rsid w:val="00D17F2E"/>
    <w:rsid w:val="00D30354"/>
    <w:rsid w:val="00D54624"/>
    <w:rsid w:val="00D87ACE"/>
    <w:rsid w:val="00DB7DC5"/>
    <w:rsid w:val="00DC6087"/>
    <w:rsid w:val="00DF42A0"/>
    <w:rsid w:val="00E46C51"/>
    <w:rsid w:val="00E769FE"/>
    <w:rsid w:val="00E934A1"/>
    <w:rsid w:val="00EA2CBE"/>
    <w:rsid w:val="00F146E5"/>
    <w:rsid w:val="00F32FEE"/>
    <w:rsid w:val="00F5179A"/>
    <w:rsid w:val="00FB10BB"/>
    <w:rsid w:val="00FC40CE"/>
    <w:rsid w:val="324A03B7"/>
    <w:rsid w:val="3F5D3DB1"/>
    <w:rsid w:val="51212776"/>
    <w:rsid w:val="553C40C4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41E042-59E5-4905-B7E7-2769BDCDAB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425</Words>
  <Characters>2429</Characters>
  <Lines>20</Lines>
  <Paragraphs>5</Paragraphs>
  <TotalTime>0</TotalTime>
  <ScaleCrop>false</ScaleCrop>
  <LinksUpToDate>false</LinksUpToDate>
  <CharactersWithSpaces>2849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2024-03-28T10:31:05Z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