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玛纳斯县民政局财政项目支出绩效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度</w:t>
      </w:r>
      <w:r>
        <w:rPr>
          <w:rFonts w:hint="eastAsia" w:hAnsi="宋体" w:eastAsia="仿宋_GB2312" w:cs="宋体"/>
          <w:kern w:val="0"/>
          <w:sz w:val="36"/>
          <w:szCs w:val="36"/>
        </w:rPr>
        <w:t>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项目名称：其他社会保障和就业支出</w:t>
      </w:r>
    </w:p>
    <w:p>
      <w:pPr>
        <w:spacing w:line="700" w:lineRule="exact"/>
        <w:jc w:val="left"/>
        <w:rPr>
          <w:rFonts w:hAnsi="宋体" w:eastAsia="仿宋_GB2312" w:cs="宋体"/>
          <w:spacing w:val="-20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spacing w:val="-20"/>
          <w:kern w:val="0"/>
          <w:sz w:val="36"/>
          <w:szCs w:val="36"/>
        </w:rPr>
        <w:t>玛纳斯县民政局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spacing w:val="-20"/>
          <w:kern w:val="0"/>
          <w:sz w:val="36"/>
          <w:szCs w:val="36"/>
        </w:rPr>
        <w:t>玛纳斯县民政局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项目负责人（签章）：王奎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民政局现有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6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个内设科室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: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即综合行政办公室、社会保障办公室（救灾救济、城乡低保、城乡解困、医疗救助）、基层政权办公室、社会事务办公室（婚姻登记处）、行政区划地名办公室、双拥及优抚安置办公室，下属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个单位：殡葬管理所、殡仪馆和民政福利园区（即社会福利院、光荣院、敬老院、孤儿院、老年公寓、社会救助站）。这些科室单位具体承办救灾救济、城乡低保、医疗救助、基层政权和社区建设等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23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项业务。</w:t>
      </w:r>
    </w:p>
    <w:p>
      <w:pPr>
        <w:spacing w:line="540" w:lineRule="exact"/>
        <w:ind w:firstLine="313" w:firstLineChars="1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通过开展“农村最低生活保障”工作监督抽验、</w:t>
      </w:r>
      <w:r>
        <w:rPr>
          <w:rFonts w:hint="eastAsia" w:ascii="仿宋" w:hAnsi="仿宋" w:eastAsia="仿宋"/>
          <w:sz w:val="32"/>
          <w:szCs w:val="32"/>
        </w:rPr>
        <w:t>逐步形成了以最低生活保障为基础，医疗救助和临时救助等社会助困帮扶手段为补充的社会救助体系，在保障困难群众基本生活、促进社会公平正义方面发挥了积极作用，为全县困难群众构筑了坚实、安全的兜底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年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财政拨其他社会保障和就业支出资金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1514.71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万元，本年支出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1514.71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万元，主要包括：农村最低生活保障专项资金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576.77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万元，农村生活保障累计人数为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2.0881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人。农村低保累计支出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576.77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万元。城市低保累计人数为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0.5889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人，城市低保金累计支出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210.17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万元。五保供养经费</w:t>
      </w:r>
      <w:r>
        <w:rPr>
          <w:rStyle w:val="18"/>
          <w:rFonts w:ascii="仿宋" w:hAnsi="仿宋" w:eastAsia="仿宋"/>
          <w:b w:val="0"/>
          <w:color w:val="FF000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万元，城乡低保工作经费</w:t>
      </w:r>
      <w:r>
        <w:rPr>
          <w:rStyle w:val="18"/>
          <w:rFonts w:ascii="仿宋" w:hAnsi="仿宋" w:eastAsia="仿宋"/>
          <w:b w:val="0"/>
          <w:color w:val="FF0000"/>
          <w:spacing w:val="-4"/>
          <w:sz w:val="32"/>
          <w:szCs w:val="32"/>
        </w:rPr>
        <w:t>13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万元，双集中照料经费</w:t>
      </w:r>
      <w:r>
        <w:rPr>
          <w:rStyle w:val="18"/>
          <w:rFonts w:ascii="仿宋" w:hAnsi="仿宋" w:eastAsia="仿宋"/>
          <w:b w:val="0"/>
          <w:color w:val="FF0000"/>
          <w:spacing w:val="-4"/>
          <w:sz w:val="32"/>
          <w:szCs w:val="32"/>
        </w:rPr>
        <w:t>24.5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</w:t>
      </w:r>
    </w:p>
    <w:p>
      <w:pPr>
        <w:spacing w:line="540" w:lineRule="exact"/>
        <w:ind w:firstLine="313" w:firstLineChars="1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从支出情况看，其他社会保障和就业支出项目资金主要用于城乡低保，五保供养经费，城乡低保工作经费，双集中照料经费。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在资金的使用上，严格农村最低生活保障金专项支付资金的使用范围，没有存在挪用或超标准开支的情况。在财务管理上，严格按照要求进行资金分配支出，会计核算规范。</w:t>
      </w:r>
    </w:p>
    <w:p>
      <w:pPr>
        <w:spacing w:line="460" w:lineRule="exact"/>
        <w:ind w:firstLine="640"/>
        <w:jc w:val="lef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根据人民政府印发了玛民发【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2017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】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46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号《玛纳斯县在“学讲话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转作风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促落实”专项活动中开展社会救助专项整治活动实施方案》，通过开展“学讲话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转作风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促落实”专项活动中开展社会救助专项整治活动。为加强对社会救助工作规范管理，强化监督检查，杜绝侵害群众利益的不正之风和腐败问题。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460" w:lineRule="exact"/>
        <w:ind w:firstLine="64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sz w:val="32"/>
          <w:szCs w:val="32"/>
        </w:rPr>
        <w:t>2018</w:t>
      </w:r>
      <w:r>
        <w:rPr>
          <w:rFonts w:hint="eastAsia"/>
          <w:sz w:val="32"/>
          <w:szCs w:val="32"/>
        </w:rPr>
        <w:t>年，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玛纳斯县深入开展低保专项治理，</w:t>
      </w:r>
      <w:r>
        <w:rPr>
          <w:rFonts w:hint="eastAsia" w:ascii="仿宋" w:hAnsi="仿宋" w:eastAsia="仿宋"/>
          <w:sz w:val="32"/>
          <w:szCs w:val="32"/>
        </w:rPr>
        <w:t>针对婚姻法内的子女赡养费予以专项核算清理。玛纳斯县民政局依据的子女赡养费公式如下：</w:t>
      </w:r>
      <w:r>
        <w:rPr>
          <w:rFonts w:hint="eastAsia"/>
          <w:b/>
          <w:bCs/>
          <w:sz w:val="32"/>
          <w:szCs w:val="32"/>
        </w:rPr>
        <w:t>（赡养费</w:t>
      </w:r>
      <w:r>
        <w:rPr>
          <w:b/>
          <w:bCs/>
          <w:sz w:val="32"/>
          <w:szCs w:val="32"/>
        </w:rPr>
        <w:t xml:space="preserve">= </w:t>
      </w:r>
      <w:r>
        <w:rPr>
          <w:rFonts w:hint="eastAsia"/>
          <w:b/>
          <w:bCs/>
          <w:sz w:val="32"/>
          <w:szCs w:val="32"/>
        </w:rPr>
        <w:t>【（子女年收入</w:t>
      </w:r>
      <w:r>
        <w:rPr>
          <w:b/>
          <w:bCs/>
          <w:sz w:val="32"/>
          <w:szCs w:val="32"/>
        </w:rPr>
        <w:t>-5040X</w:t>
      </w:r>
      <w:r>
        <w:rPr>
          <w:rFonts w:hint="eastAsia"/>
          <w:b/>
          <w:bCs/>
          <w:sz w:val="32"/>
          <w:szCs w:val="32"/>
        </w:rPr>
        <w:t>子女家庭人数）÷</w:t>
      </w:r>
      <w:r>
        <w:rPr>
          <w:b/>
          <w:bCs/>
          <w:sz w:val="32"/>
          <w:szCs w:val="32"/>
        </w:rPr>
        <w:t xml:space="preserve">2 </w:t>
      </w:r>
      <w:r>
        <w:rPr>
          <w:rFonts w:hint="eastAsia"/>
          <w:b/>
          <w:bCs/>
          <w:sz w:val="32"/>
          <w:szCs w:val="32"/>
        </w:rPr>
        <w:t>（未婚或离异除</w:t>
      </w:r>
      <w:r>
        <w:rPr>
          <w:b/>
          <w:bCs/>
          <w:sz w:val="32"/>
          <w:szCs w:val="32"/>
        </w:rPr>
        <w:t>1</w:t>
      </w:r>
      <w:r>
        <w:rPr>
          <w:rFonts w:hint="eastAsia"/>
          <w:b/>
          <w:bCs/>
          <w:sz w:val="32"/>
          <w:szCs w:val="32"/>
        </w:rPr>
        <w:t>）】÷双方老人个数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）。</w:t>
      </w:r>
      <w:r>
        <w:rPr>
          <w:rFonts w:hint="eastAsia" w:ascii="仿宋" w:hAnsi="仿宋" w:eastAsia="仿宋"/>
          <w:b/>
          <w:sz w:val="32"/>
          <w:szCs w:val="32"/>
        </w:rPr>
        <w:t>截至目前</w:t>
      </w:r>
      <w:bookmarkStart w:id="0" w:name="_GoBack"/>
      <w:bookmarkEnd w:id="0"/>
      <w:r>
        <w:rPr>
          <w:rFonts w:hint="eastAsia" w:ascii="仿宋" w:hAnsi="仿宋" w:eastAsia="仿宋"/>
          <w:b/>
          <w:sz w:val="32"/>
          <w:szCs w:val="32"/>
        </w:rPr>
        <w:t>，共清理</w:t>
      </w:r>
      <w:r>
        <w:rPr>
          <w:rFonts w:ascii="仿宋" w:hAnsi="仿宋" w:eastAsia="仿宋"/>
          <w:sz w:val="32"/>
          <w:szCs w:val="32"/>
        </w:rPr>
        <w:t>2017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-2018</w:t>
      </w:r>
      <w:r>
        <w:rPr>
          <w:rFonts w:hint="eastAsia" w:ascii="仿宋" w:hAnsi="仿宋" w:eastAsia="仿宋"/>
          <w:sz w:val="32"/>
          <w:szCs w:val="32"/>
        </w:rPr>
        <w:t>年共清退低保</w:t>
      </w:r>
      <w:r>
        <w:rPr>
          <w:rFonts w:ascii="仿宋" w:hAnsi="仿宋" w:eastAsia="仿宋"/>
          <w:sz w:val="32"/>
          <w:szCs w:val="32"/>
        </w:rPr>
        <w:t>1306</w:t>
      </w:r>
      <w:r>
        <w:rPr>
          <w:rFonts w:hint="eastAsia" w:ascii="仿宋" w:hAnsi="仿宋" w:eastAsia="仿宋"/>
          <w:sz w:val="32"/>
          <w:szCs w:val="32"/>
        </w:rPr>
        <w:t>户</w:t>
      </w:r>
      <w:r>
        <w:rPr>
          <w:rFonts w:ascii="仿宋" w:hAnsi="仿宋" w:eastAsia="仿宋"/>
          <w:sz w:val="32"/>
          <w:szCs w:val="32"/>
        </w:rPr>
        <w:t>2765</w:t>
      </w:r>
      <w:r>
        <w:rPr>
          <w:rFonts w:hint="eastAsia" w:ascii="仿宋" w:hAnsi="仿宋" w:eastAsia="仿宋"/>
          <w:sz w:val="32"/>
          <w:szCs w:val="32"/>
        </w:rPr>
        <w:t>人，清理资金</w:t>
      </w:r>
      <w:r>
        <w:rPr>
          <w:rFonts w:ascii="仿宋" w:hAnsi="仿宋" w:eastAsia="仿宋"/>
          <w:sz w:val="32"/>
          <w:szCs w:val="32"/>
        </w:rPr>
        <w:t>133.83</w:t>
      </w:r>
      <w:r>
        <w:rPr>
          <w:rFonts w:hint="eastAsia" w:ascii="仿宋" w:hAnsi="仿宋" w:eastAsia="仿宋"/>
          <w:sz w:val="32"/>
          <w:szCs w:val="32"/>
        </w:rPr>
        <w:t>万元。新增低保</w:t>
      </w:r>
      <w:r>
        <w:rPr>
          <w:rFonts w:ascii="仿宋" w:hAnsi="仿宋" w:eastAsia="仿宋"/>
          <w:sz w:val="32"/>
          <w:szCs w:val="32"/>
        </w:rPr>
        <w:t>247</w:t>
      </w:r>
      <w:r>
        <w:rPr>
          <w:rFonts w:hint="eastAsia" w:ascii="仿宋" w:hAnsi="仿宋" w:eastAsia="仿宋"/>
          <w:sz w:val="32"/>
          <w:szCs w:val="32"/>
        </w:rPr>
        <w:t>户</w:t>
      </w:r>
      <w:r>
        <w:rPr>
          <w:rFonts w:ascii="仿宋" w:hAnsi="仿宋" w:eastAsia="仿宋"/>
          <w:sz w:val="32"/>
          <w:szCs w:val="32"/>
        </w:rPr>
        <w:t>494</w:t>
      </w:r>
      <w:r>
        <w:rPr>
          <w:rFonts w:hint="eastAsia" w:ascii="仿宋" w:hAnsi="仿宋" w:eastAsia="仿宋"/>
          <w:sz w:val="32"/>
          <w:szCs w:val="32"/>
        </w:rPr>
        <w:t>人。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清理出</w:t>
      </w:r>
      <w:r>
        <w:rPr>
          <w:rFonts w:ascii="仿宋" w:hAnsi="仿宋" w:eastAsia="仿宋" w:cs="仿宋_GB2312"/>
          <w:sz w:val="32"/>
          <w:szCs w:val="32"/>
          <w:lang w:val="zh-CN"/>
        </w:rPr>
        <w:t>776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户</w:t>
      </w:r>
      <w:r>
        <w:rPr>
          <w:rFonts w:ascii="仿宋" w:hAnsi="仿宋" w:eastAsia="仿宋" w:cs="仿宋_GB2312"/>
          <w:sz w:val="32"/>
          <w:szCs w:val="32"/>
          <w:lang w:val="zh-CN"/>
        </w:rPr>
        <w:t>1687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人，取缔低保资金共计</w:t>
      </w:r>
      <w:r>
        <w:rPr>
          <w:rFonts w:ascii="仿宋" w:hAnsi="仿宋" w:eastAsia="仿宋" w:cs="仿宋_GB2312"/>
          <w:sz w:val="32"/>
          <w:szCs w:val="32"/>
          <w:lang w:val="zh-CN"/>
        </w:rPr>
        <w:t>76.80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万元。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 w:firstLineChars="200"/>
        <w:rPr>
          <w:rFonts w:ascii="仿宋_GB2312" w:eastAsia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为加强对社会救助工作规范管理，强化监督检查，杜绝侵害群众利益的不正之风和腐败问题发生，确保党的惠民政策安全准确落实到基层，做到精准救助。根据县民政局《关于对全县民政系统“学转促”专项整治清理工作进行督查的通知》等相关文件要求，经局领导研究决定，</w:t>
      </w:r>
      <w:r>
        <w:rPr>
          <w:rFonts w:ascii="仿宋_GB2312" w:eastAsia="仿宋_GB2312"/>
          <w:sz w:val="31"/>
          <w:szCs w:val="31"/>
        </w:rPr>
        <w:t>5</w:t>
      </w:r>
      <w:r>
        <w:rPr>
          <w:rFonts w:hint="eastAsia" w:ascii="仿宋_GB2312" w:eastAsia="仿宋_GB2312"/>
          <w:sz w:val="31"/>
          <w:szCs w:val="31"/>
        </w:rPr>
        <w:t>月</w:t>
      </w:r>
      <w:r>
        <w:rPr>
          <w:rFonts w:ascii="仿宋_GB2312" w:eastAsia="仿宋_GB2312"/>
          <w:sz w:val="31"/>
          <w:szCs w:val="31"/>
        </w:rPr>
        <w:t>18</w:t>
      </w:r>
      <w:r>
        <w:rPr>
          <w:rFonts w:hint="eastAsia" w:ascii="仿宋_GB2312" w:eastAsia="仿宋_GB2312"/>
          <w:sz w:val="31"/>
          <w:szCs w:val="31"/>
        </w:rPr>
        <w:t>日至</w:t>
      </w:r>
      <w:r>
        <w:rPr>
          <w:rFonts w:ascii="仿宋_GB2312" w:eastAsia="仿宋_GB2312"/>
          <w:sz w:val="31"/>
          <w:szCs w:val="31"/>
        </w:rPr>
        <w:t>19</w:t>
      </w:r>
      <w:r>
        <w:rPr>
          <w:rFonts w:hint="eastAsia" w:ascii="仿宋_GB2312" w:eastAsia="仿宋_GB2312"/>
          <w:sz w:val="31"/>
          <w:szCs w:val="31"/>
        </w:rPr>
        <w:t>日，由县民政局抽调人员组成</w:t>
      </w:r>
      <w:r>
        <w:rPr>
          <w:rFonts w:ascii="仿宋_GB2312" w:eastAsia="仿宋_GB2312"/>
          <w:sz w:val="31"/>
          <w:szCs w:val="31"/>
        </w:rPr>
        <w:t>1</w:t>
      </w:r>
      <w:r>
        <w:rPr>
          <w:rFonts w:hint="eastAsia" w:ascii="仿宋_GB2312" w:eastAsia="仿宋_GB2312"/>
          <w:sz w:val="31"/>
          <w:szCs w:val="31"/>
        </w:rPr>
        <w:t>个督查组，采取听汇报、查阅资料、座谈交流和实地查看等方式，对全县</w:t>
      </w:r>
      <w:r>
        <w:rPr>
          <w:rFonts w:ascii="仿宋_GB2312" w:eastAsia="仿宋_GB2312"/>
          <w:sz w:val="31"/>
          <w:szCs w:val="31"/>
        </w:rPr>
        <w:t>14</w:t>
      </w:r>
      <w:r>
        <w:rPr>
          <w:rFonts w:hint="eastAsia" w:ascii="仿宋_GB2312" w:eastAsia="仿宋_GB2312"/>
          <w:sz w:val="31"/>
          <w:szCs w:val="31"/>
        </w:rPr>
        <w:t>个乡镇场站社会救助等运行情况进行了为期</w:t>
      </w:r>
      <w:r>
        <w:rPr>
          <w:rFonts w:ascii="仿宋_GB2312" w:eastAsia="仿宋_GB2312"/>
          <w:sz w:val="31"/>
          <w:szCs w:val="31"/>
        </w:rPr>
        <w:t>2</w:t>
      </w:r>
      <w:r>
        <w:rPr>
          <w:rFonts w:hint="eastAsia" w:ascii="仿宋_GB2312" w:eastAsia="仿宋_GB2312"/>
          <w:sz w:val="31"/>
          <w:szCs w:val="31"/>
        </w:rPr>
        <w:t>天的督查。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项目绩效目标已完成。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继续在全县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社会救助工作规范管理，强化监督检查，杜绝侵害群众利益的不正之风和腐败问题发生，确保党的惠民政策安全准确落实到基层，做到精准救助。根据县民政局《关于对全县民政系统“学转促”专项整治清理工作进行督查的通知》等相关文件要求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widowControl/>
        <w:shd w:val="clear" w:color="auto" w:fill="FFFFFF"/>
        <w:spacing w:line="480" w:lineRule="exact"/>
        <w:ind w:firstLine="456" w:firstLineChars="150"/>
        <w:jc w:val="left"/>
        <w:rPr>
          <w:rFonts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  <w:t>一是进一步加社会救助资金的投入和监管力度。在积极争取上级支持的基础上，继续加大资金投入力度，改善救助对象生活待遇，重点在提高集中供养率和解决医疗难方面下功夫，力争取得突破。同时，将每年开展一至两次的社会救助执法检查，由县民政、财政、审计、监察等部门成立联合检查组，对救助资金兑现情况进行督查，发现问题及时纠正和整改。</w:t>
      </w:r>
    </w:p>
    <w:p>
      <w:pPr>
        <w:widowControl/>
        <w:shd w:val="clear" w:color="auto" w:fill="FFFFFF"/>
        <w:spacing w:line="480" w:lineRule="exact"/>
        <w:ind w:firstLine="456" w:firstLineChars="150"/>
        <w:jc w:val="left"/>
        <w:rPr>
          <w:rFonts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  <w:t>二是进一步加大对社会救助的动态管理力度。县民政、财政部门每年开展两次以上对救助对象的普查或抽查，及时准确掌握救助对象总体生活状况，针对救助对象死亡率较高的实际情况，由过去一年一调整改为每月一调整，及时将符合救助条件的对象纳入救助范围。同时，加强信息化建设，提高工作效率。</w:t>
      </w:r>
    </w:p>
    <w:p>
      <w:pPr>
        <w:widowControl/>
        <w:shd w:val="clear" w:color="auto" w:fill="FFFFFF"/>
        <w:spacing w:line="480" w:lineRule="exact"/>
        <w:ind w:firstLine="456" w:firstLineChars="150"/>
        <w:jc w:val="left"/>
        <w:rPr>
          <w:rFonts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  <w:t>三是进一步加大社会救助法规和政策的宣传力度。利用政务公开、村务公开，以及新闻媒体等多种形式，广泛宣传社会救助的法规政策，使之家喻户晓。不断提高社会救助工作的透明度，接受社会各界的监督，确保社会救助政策落到实处，努力营造全社会关心支持社会救助工作的浓厚氛围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600" w:lineRule="exact"/>
        <w:ind w:left="105" w:leftChars="50"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（一）加强项目实施管理。</w:t>
      </w:r>
      <w:r>
        <w:rPr>
          <w:rFonts w:hint="eastAsia" w:ascii="新宋体" w:hAnsi="新宋体" w:eastAsia="新宋体" w:cs="新宋体"/>
          <w:sz w:val="32"/>
          <w:szCs w:val="32"/>
        </w:rPr>
        <w:t>一</w:t>
      </w:r>
      <w:r>
        <w:rPr>
          <w:rFonts w:hint="eastAsia" w:ascii="仿宋_GB2312" w:eastAsia="仿宋_GB2312"/>
          <w:spacing w:val="-4"/>
          <w:sz w:val="32"/>
          <w:szCs w:val="32"/>
        </w:rPr>
        <w:t>是抓落实。要求将任务落实到具体项目，明确责任主体。二是抓督查。经常到实地督查进度，并采取开展调研、中期评估等有效管理措施，促进各项目顺利实施。</w:t>
      </w:r>
    </w:p>
    <w:p>
      <w:pPr>
        <w:spacing w:line="600" w:lineRule="exact"/>
        <w:ind w:left="105" w:leftChars="50"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（二）加强项目资金管理。做到手续完备、专账管理、专人负责、专户存储、账目清楚。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13"/>
        <w:gridCol w:w="427"/>
        <w:gridCol w:w="990"/>
        <w:gridCol w:w="37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928" w:firstLineChars="600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201</w:t>
            </w:r>
            <w:r>
              <w:rPr>
                <w:rFonts w:hint="eastAsia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其他社会保障和就业支出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  <w:r>
              <w:rPr>
                <w:rFonts w:asci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1514.71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1514.71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1514.71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1514.71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：救助覆盖面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应保尽保，应救尽救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农村生活保障累计人数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>2.4976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人，城市低保累计人数为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.0860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  <w:r>
              <w:rPr>
                <w:rStyle w:val="18"/>
                <w:rFonts w:hint="eastAsia" w:ascii="仿宋" w:hAnsi="仿宋" w:eastAsia="仿宋"/>
                <w:b w:val="0"/>
                <w:spacing w:val="-4"/>
                <w:sz w:val="32"/>
                <w:szCs w:val="32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：救助标准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与经济社会发展水平相适应，有效保障困难群众基本生活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：生活不能自理的特困人员集中供养率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：在规定时间内拨救助资金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：困难群众基本生活按时发放率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：困难群众生活水平提升情况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逐步提升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较上年明显提升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：困难群众基本生活保障制度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不断完善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已经完善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：政策知晓率和工作满意度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33F46"/>
    <w:rsid w:val="00041E6E"/>
    <w:rsid w:val="00056465"/>
    <w:rsid w:val="000923CD"/>
    <w:rsid w:val="000946EA"/>
    <w:rsid w:val="000A65D2"/>
    <w:rsid w:val="000E0EE0"/>
    <w:rsid w:val="00121AE4"/>
    <w:rsid w:val="00124DC5"/>
    <w:rsid w:val="00146AAD"/>
    <w:rsid w:val="00197E52"/>
    <w:rsid w:val="001B3A40"/>
    <w:rsid w:val="00204FDE"/>
    <w:rsid w:val="002122E8"/>
    <w:rsid w:val="00226973"/>
    <w:rsid w:val="00250D4E"/>
    <w:rsid w:val="00253B7B"/>
    <w:rsid w:val="002A4E68"/>
    <w:rsid w:val="002A63A2"/>
    <w:rsid w:val="002D7777"/>
    <w:rsid w:val="00337695"/>
    <w:rsid w:val="003C18BC"/>
    <w:rsid w:val="00415A34"/>
    <w:rsid w:val="004303AD"/>
    <w:rsid w:val="004366A8"/>
    <w:rsid w:val="00462B4E"/>
    <w:rsid w:val="00464900"/>
    <w:rsid w:val="00483B41"/>
    <w:rsid w:val="00502BA7"/>
    <w:rsid w:val="00504206"/>
    <w:rsid w:val="005162F1"/>
    <w:rsid w:val="0053082E"/>
    <w:rsid w:val="00535153"/>
    <w:rsid w:val="00554F82"/>
    <w:rsid w:val="0056390D"/>
    <w:rsid w:val="00570815"/>
    <w:rsid w:val="005719B0"/>
    <w:rsid w:val="005959F7"/>
    <w:rsid w:val="00596A32"/>
    <w:rsid w:val="005A757B"/>
    <w:rsid w:val="005B71F5"/>
    <w:rsid w:val="005D10D6"/>
    <w:rsid w:val="005F5649"/>
    <w:rsid w:val="00605714"/>
    <w:rsid w:val="00652511"/>
    <w:rsid w:val="00707520"/>
    <w:rsid w:val="00742F0D"/>
    <w:rsid w:val="00743DDC"/>
    <w:rsid w:val="007448D2"/>
    <w:rsid w:val="00764A1F"/>
    <w:rsid w:val="007806A5"/>
    <w:rsid w:val="007A4E90"/>
    <w:rsid w:val="007D727F"/>
    <w:rsid w:val="007F79C7"/>
    <w:rsid w:val="00855E3A"/>
    <w:rsid w:val="00877025"/>
    <w:rsid w:val="008C109F"/>
    <w:rsid w:val="008E5313"/>
    <w:rsid w:val="00922CB9"/>
    <w:rsid w:val="009653D9"/>
    <w:rsid w:val="009D33E2"/>
    <w:rsid w:val="009E5CD9"/>
    <w:rsid w:val="00A01CD0"/>
    <w:rsid w:val="00A02B04"/>
    <w:rsid w:val="00A26421"/>
    <w:rsid w:val="00A35B1F"/>
    <w:rsid w:val="00A4293B"/>
    <w:rsid w:val="00A67D50"/>
    <w:rsid w:val="00A8691A"/>
    <w:rsid w:val="00AC1946"/>
    <w:rsid w:val="00B14451"/>
    <w:rsid w:val="00B40063"/>
    <w:rsid w:val="00B41F61"/>
    <w:rsid w:val="00BA46E6"/>
    <w:rsid w:val="00C24B73"/>
    <w:rsid w:val="00C44501"/>
    <w:rsid w:val="00C557EA"/>
    <w:rsid w:val="00C56C72"/>
    <w:rsid w:val="00CA6457"/>
    <w:rsid w:val="00CC6CBD"/>
    <w:rsid w:val="00CD5170"/>
    <w:rsid w:val="00D10067"/>
    <w:rsid w:val="00D17F2E"/>
    <w:rsid w:val="00D30354"/>
    <w:rsid w:val="00D561F0"/>
    <w:rsid w:val="00D9229B"/>
    <w:rsid w:val="00DF42A0"/>
    <w:rsid w:val="00E404C8"/>
    <w:rsid w:val="00E425C6"/>
    <w:rsid w:val="00E46C51"/>
    <w:rsid w:val="00E500D7"/>
    <w:rsid w:val="00E769FE"/>
    <w:rsid w:val="00E81877"/>
    <w:rsid w:val="00E96DAC"/>
    <w:rsid w:val="00EA2CBE"/>
    <w:rsid w:val="00ED5B38"/>
    <w:rsid w:val="00EF4540"/>
    <w:rsid w:val="00EF571E"/>
    <w:rsid w:val="00F13425"/>
    <w:rsid w:val="00F32FEE"/>
    <w:rsid w:val="00F6567C"/>
    <w:rsid w:val="00FB10BB"/>
    <w:rsid w:val="36824D36"/>
    <w:rsid w:val="54A77D38"/>
    <w:rsid w:val="553C40C4"/>
    <w:rsid w:val="5A2B1A2E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basedOn w:val="17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标题 7 Char"/>
    <w:basedOn w:val="17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basedOn w:val="17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Char"/>
    <w:basedOn w:val="17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Char"/>
    <w:basedOn w:val="17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Char"/>
    <w:basedOn w:val="17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Char"/>
    <w:basedOn w:val="17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Char"/>
    <w:basedOn w:val="17"/>
    <w:link w:val="15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Char"/>
    <w:basedOn w:val="17"/>
    <w:link w:val="36"/>
    <w:qFormat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Char"/>
    <w:basedOn w:val="17"/>
    <w:link w:val="38"/>
    <w:qFormat/>
    <w:locked/>
    <w:uiPriority w:val="99"/>
    <w:rPr>
      <w:rFonts w:cs="Times New Roman"/>
      <w:b/>
      <w:i/>
      <w:sz w:val="24"/>
    </w:rPr>
  </w:style>
  <w:style w:type="character" w:customStyle="1" w:styleId="40">
    <w:name w:val="Subtle Emphasis1"/>
    <w:qFormat/>
    <w:uiPriority w:val="99"/>
    <w:rPr>
      <w:i/>
      <w:color w:val="595959"/>
    </w:rPr>
  </w:style>
  <w:style w:type="character" w:customStyle="1" w:styleId="41">
    <w:name w:val="Intense Emphasis1"/>
    <w:basedOn w:val="17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Subtle Reference1"/>
    <w:basedOn w:val="17"/>
    <w:qFormat/>
    <w:uiPriority w:val="99"/>
    <w:rPr>
      <w:rFonts w:cs="Times New Roman"/>
      <w:sz w:val="24"/>
      <w:szCs w:val="24"/>
      <w:u w:val="single"/>
    </w:rPr>
  </w:style>
  <w:style w:type="character" w:customStyle="1" w:styleId="43">
    <w:name w:val="Intense Reference1"/>
    <w:basedOn w:val="17"/>
    <w:qFormat/>
    <w:uiPriority w:val="99"/>
    <w:rPr>
      <w:rFonts w:cs="Times New Roman"/>
      <w:b/>
      <w:sz w:val="24"/>
      <w:u w:val="single"/>
    </w:rPr>
  </w:style>
  <w:style w:type="character" w:customStyle="1" w:styleId="44">
    <w:name w:val="Book Title1"/>
    <w:basedOn w:val="17"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429</Words>
  <Characters>2448</Characters>
  <Lines>20</Lines>
  <Paragraphs>5</Paragraphs>
  <TotalTime>1</TotalTime>
  <ScaleCrop>false</ScaleCrop>
  <LinksUpToDate>false</LinksUpToDate>
  <CharactersWithSpaces>2872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2019-02-18T03:05:00Z</dcterms:created>
  <dc:creator>赵 恺（预算处）</dc:creator>
  <cp:lastModifiedBy>Administrator</cp:lastModifiedBy>
  <cp:lastPrinted>2019-01-13T12:20:00Z</cp:lastPrinted>
  <dcterms:modified xsi:type="dcterms:W3CDTF">2024-03-28T10:34:32Z</dcterms:modified>
  <dc:title>附件1：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