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??" w:hAnsi="??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附件</w:t>
      </w:r>
      <w:r>
        <w:rPr>
          <w:rFonts w:ascii="??" w:hAnsi="??" w:cs="宋体"/>
          <w:kern w:val="0"/>
          <w:sz w:val="32"/>
          <w:szCs w:val="32"/>
        </w:rPr>
        <w:t>1</w:t>
      </w:r>
      <w:r>
        <w:rPr>
          <w:rFonts w:hint="eastAsia" w:ascii="宋体" w:hAnsi="宋体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ind w:left="1980" w:hanging="1980" w:hangingChars="550"/>
        <w:jc w:val="left"/>
        <w:rPr>
          <w:rFonts w:ascii="宋体" w:cs="宋体"/>
          <w:color w:val="00000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ascii="??" w:hAnsi="??"/>
          <w:color w:val="000000"/>
          <w:sz w:val="36"/>
          <w:szCs w:val="36"/>
        </w:rPr>
        <w:t>2018</w:t>
      </w:r>
      <w:r>
        <w:rPr>
          <w:rFonts w:hint="eastAsia" w:ascii="宋体" w:hAnsi="宋体" w:cs="宋体"/>
          <w:color w:val="000000"/>
          <w:sz w:val="36"/>
          <w:szCs w:val="36"/>
        </w:rPr>
        <w:t>年城市基础设施维修项目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实施单位（公章）：玛纳斯县住房和城乡建设局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主管部门（公章）：玛纳斯县住房和城乡建设局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项目负责人（签章）：陆文栋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</w:t>
      </w: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 xml:space="preserve">    2018 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 xml:space="preserve"> 9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>25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79" w:firstLineChars="181"/>
        <w:rPr>
          <w:rFonts w:ascii="??" w:hAnsi="??" w:cs="??"/>
          <w:kern w:val="0"/>
          <w:sz w:val="32"/>
          <w:szCs w:val="32"/>
        </w:rPr>
      </w:pPr>
      <w:r>
        <w:rPr>
          <w:rFonts w:ascii="??" w:hAnsi="??" w:cs="??"/>
          <w:kern w:val="0"/>
          <w:sz w:val="32"/>
          <w:szCs w:val="32"/>
        </w:rPr>
        <w:t>1</w:t>
      </w:r>
      <w:r>
        <w:rPr>
          <w:rFonts w:hint="eastAsia" w:ascii="宋体" w:hAnsi="宋体" w:cs="宋体"/>
          <w:kern w:val="0"/>
          <w:sz w:val="32"/>
          <w:szCs w:val="32"/>
        </w:rPr>
        <w:t>．主要职能</w:t>
      </w:r>
    </w:p>
    <w:p>
      <w:pPr>
        <w:spacing w:line="540" w:lineRule="exact"/>
        <w:ind w:firstLine="579" w:firstLineChars="181"/>
        <w:rPr>
          <w:rFonts w:ascii="??" w:hAnsi="??" w:cs="??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指导全县建筑业活动，培育规范建筑市场，指导监督建筑市场，管理工程招投标，工程质量和施工安全。负责全县住宅和房地产业的行业管理。负责组织实施各类房屋建筑的抗震加固，负责全县的基础设施建设，负责全县保障性住房建设及管理。</w:t>
      </w:r>
    </w:p>
    <w:p>
      <w:pPr>
        <w:spacing w:line="540" w:lineRule="exact"/>
        <w:ind w:firstLine="579" w:firstLineChars="181"/>
        <w:rPr>
          <w:rFonts w:ascii="??" w:hAnsi="??" w:cs="??"/>
          <w:kern w:val="0"/>
          <w:sz w:val="32"/>
          <w:szCs w:val="32"/>
        </w:rPr>
      </w:pPr>
      <w:r>
        <w:rPr>
          <w:rFonts w:ascii="??" w:hAnsi="??" w:cs="??"/>
          <w:kern w:val="0"/>
          <w:sz w:val="32"/>
          <w:szCs w:val="32"/>
        </w:rPr>
        <w:t>2</w:t>
      </w:r>
      <w:r>
        <w:rPr>
          <w:rFonts w:hint="eastAsia" w:ascii="宋体" w:hAnsi="宋体" w:cs="宋体"/>
          <w:kern w:val="0"/>
          <w:sz w:val="32"/>
          <w:szCs w:val="32"/>
        </w:rPr>
        <w:t>．机构情况</w:t>
      </w:r>
    </w:p>
    <w:p>
      <w:pPr>
        <w:spacing w:line="540" w:lineRule="exact"/>
        <w:ind w:firstLine="579" w:firstLineChars="181"/>
        <w:rPr>
          <w:rFonts w:ascii="??" w:hAnsi="??" w:cs="??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住建局下设</w:t>
      </w:r>
      <w:r>
        <w:rPr>
          <w:rFonts w:ascii="??" w:hAnsi="??" w:cs="??"/>
          <w:kern w:val="0"/>
          <w:sz w:val="32"/>
          <w:szCs w:val="32"/>
        </w:rPr>
        <w:t>9</w:t>
      </w:r>
      <w:r>
        <w:rPr>
          <w:rFonts w:hint="eastAsia" w:ascii="宋体" w:hAnsi="宋体" w:cs="宋体"/>
          <w:kern w:val="0"/>
          <w:sz w:val="32"/>
          <w:szCs w:val="32"/>
        </w:rPr>
        <w:t>个处室，分别是：玛纳斯县城建监察大队、玛纳斯县建设工程安监站、玛纳斯县建设工程质量监督站、玛纳斯县建筑市场管理办公室、玛纳斯县房地产管理所、玛纳斯县建设工程造价管理站、玛纳斯县燃气供热服务站、玛纳斯县城建档案室、玛纳斯县市政建设服务中心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640"/>
        <w:jc w:val="left"/>
        <w:rPr>
          <w:rFonts w:asci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预期目标：通过维护修缮确保基础设施完整性，保证基础设施正常运行。</w:t>
      </w:r>
    </w:p>
    <w:p>
      <w:pPr>
        <w:spacing w:line="540" w:lineRule="exact"/>
        <w:ind w:firstLine="640"/>
        <w:jc w:val="left"/>
        <w:rPr>
          <w:rFonts w:ascii="??" w:hAnsi="??"/>
          <w:color w:val="000000"/>
          <w:sz w:val="30"/>
          <w:szCs w:val="30"/>
        </w:rPr>
      </w:pPr>
      <w:r>
        <w:rPr>
          <w:rFonts w:hint="eastAsia" w:ascii="宋体" w:hAnsi="宋体" w:cs="宋体"/>
          <w:sz w:val="32"/>
          <w:szCs w:val="32"/>
        </w:rPr>
        <w:t>项目性质及用途：该项目属于</w:t>
      </w:r>
      <w:r>
        <w:rPr>
          <w:rFonts w:ascii="宋体" w:hAnsi="宋体" w:cs="宋体"/>
          <w:sz w:val="32"/>
          <w:szCs w:val="32"/>
        </w:rPr>
        <w:t>2018</w:t>
      </w:r>
      <w:r>
        <w:rPr>
          <w:rFonts w:hint="eastAsia" w:ascii="宋体" w:hAnsi="宋体" w:cs="宋体"/>
          <w:sz w:val="32"/>
          <w:szCs w:val="32"/>
        </w:rPr>
        <w:t>年</w:t>
      </w:r>
      <w:r>
        <w:rPr>
          <w:rFonts w:hint="eastAsia" w:ascii="??" w:hAnsi="??"/>
          <w:color w:val="000000"/>
          <w:sz w:val="30"/>
          <w:szCs w:val="30"/>
        </w:rPr>
        <w:t>城市基础设施维修项目。</w:t>
      </w:r>
    </w:p>
    <w:p>
      <w:pPr>
        <w:spacing w:line="540" w:lineRule="exact"/>
        <w:ind w:firstLine="640"/>
        <w:jc w:val="left"/>
        <w:rPr>
          <w:rFonts w:asci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主要内容及涉及范围：</w:t>
      </w:r>
      <w:r>
        <w:rPr>
          <w:rFonts w:hint="eastAsia" w:ascii="仿宋_GB2312" w:eastAsia="仿宋_GB2312"/>
          <w:sz w:val="32"/>
          <w:szCs w:val="32"/>
        </w:rPr>
        <w:t>城区团结路，光明南路、中华路、幸福路、建设路、部分人行道路面及花砖破损维修、城区凤鸣湖、红酒公园、西海公园地面硬化铺装、石凳桌椅、等设施进行维修。</w:t>
      </w:r>
    </w:p>
    <w:p>
      <w:pPr>
        <w:spacing w:line="540" w:lineRule="exact"/>
        <w:ind w:firstLine="640"/>
        <w:jc w:val="lef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ind w:firstLine="600" w:firstLineChars="200"/>
        <w:rPr>
          <w:rFonts w:ascii="??" w:hAnsi="??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项目总投资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86</w:t>
      </w:r>
      <w:r>
        <w:rPr>
          <w:rFonts w:hint="eastAsia" w:ascii="宋体" w:hAnsi="宋体" w:cs="宋体"/>
          <w:color w:val="000000"/>
          <w:sz w:val="30"/>
          <w:szCs w:val="30"/>
        </w:rPr>
        <w:t>万元，资金均从县财政安排。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40"/>
        <w:jc w:val="left"/>
        <w:rPr>
          <w:rFonts w:ascii="宋体" w:cs="宋体"/>
          <w:sz w:val="32"/>
          <w:szCs w:val="32"/>
        </w:rPr>
      </w:pPr>
      <w:r>
        <w:rPr>
          <w:rFonts w:hint="eastAsia" w:ascii="宋体" w:hAnsi="宋体" w:cs="宋体"/>
          <w:bCs/>
          <w:kern w:val="0"/>
          <w:sz w:val="30"/>
          <w:szCs w:val="30"/>
        </w:rPr>
        <w:t>项目概况：</w:t>
      </w:r>
      <w:r>
        <w:rPr>
          <w:rFonts w:hint="eastAsia" w:ascii="仿宋_GB2312" w:eastAsia="仿宋_GB2312"/>
          <w:sz w:val="32"/>
          <w:szCs w:val="32"/>
        </w:rPr>
        <w:t>城区团结路，光明南路、中华路、幸福路、建设路、部分人行道路面及花砖破损维修、城区凤鸣湖、红酒公园、西海公园地面硬化铺装、石凳桌椅、等设施。</w:t>
      </w:r>
      <w:r>
        <w:rPr>
          <w:rFonts w:hint="eastAsia"/>
          <w:sz w:val="32"/>
          <w:szCs w:val="32"/>
        </w:rPr>
        <w:t>通过政府采购由新疆华洋建筑安装有限公司中标，中标价：</w:t>
      </w:r>
      <w:r>
        <w:rPr>
          <w:rFonts w:hint="eastAsia"/>
          <w:sz w:val="32"/>
          <w:szCs w:val="32"/>
          <w:lang w:val="en-US" w:eastAsia="zh-CN"/>
        </w:rPr>
        <w:t>86</w:t>
      </w:r>
      <w:r>
        <w:rPr>
          <w:rFonts w:hint="eastAsia"/>
          <w:sz w:val="32"/>
          <w:szCs w:val="32"/>
        </w:rPr>
        <w:t>万元，</w:t>
      </w:r>
      <w:r>
        <w:rPr>
          <w:sz w:val="32"/>
          <w:szCs w:val="32"/>
        </w:rPr>
        <w:t>2018</w:t>
      </w:r>
      <w:r>
        <w:rPr>
          <w:rFonts w:hint="eastAsia"/>
          <w:sz w:val="32"/>
          <w:szCs w:val="32"/>
        </w:rPr>
        <w:t>年已全部完工，支付工程款</w:t>
      </w:r>
      <w:r>
        <w:rPr>
          <w:rFonts w:hint="eastAsia"/>
          <w:sz w:val="32"/>
          <w:szCs w:val="32"/>
          <w:lang w:val="en-US" w:eastAsia="zh-CN"/>
        </w:rPr>
        <w:t>23万</w:t>
      </w:r>
      <w:r>
        <w:rPr>
          <w:rFonts w:hint="eastAsia"/>
          <w:sz w:val="32"/>
          <w:szCs w:val="32"/>
        </w:rPr>
        <w:t>元。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宋体" w:hAnsi="宋体" w:cs="宋体"/>
          <w:b w:val="0"/>
          <w:spacing w:val="-4"/>
          <w:sz w:val="30"/>
          <w:szCs w:val="30"/>
        </w:rPr>
        <w:t>按照施工进度，</w:t>
      </w: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</w:rPr>
        <w:t>严格合同签订，落实项目的验收，做好资金支付的审核审批手续</w:t>
      </w:r>
      <w:r>
        <w:rPr>
          <w:rFonts w:hint="eastAsia" w:ascii="微软雅黑" w:hAnsi="微软雅黑" w:eastAsia="微软雅黑"/>
          <w:color w:val="000000"/>
          <w:sz w:val="22"/>
          <w:szCs w:val="22"/>
          <w:shd w:val="clear" w:color="auto" w:fill="FFFFFF"/>
        </w:rPr>
        <w:t>，</w:t>
      </w:r>
      <w:r>
        <w:rPr>
          <w:rStyle w:val="17"/>
          <w:rFonts w:hint="eastAsia" w:ascii="宋体" w:hAnsi="宋体" w:cs="宋体"/>
          <w:b w:val="0"/>
          <w:spacing w:val="-4"/>
          <w:sz w:val="30"/>
          <w:szCs w:val="30"/>
        </w:rPr>
        <w:t>接受县财政局对资金使用的监督检查，确保资金运行安全。</w:t>
      </w: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00" w:lineRule="exact"/>
        <w:ind w:left="105" w:leftChars="50" w:right="105" w:rightChars="50" w:firstLine="640" w:firstLineChars="200"/>
        <w:rPr>
          <w:rFonts w:ascii="??" w:hAnsi="??" w:cs="仿宋_GB2312"/>
          <w:bCs/>
          <w:kern w:val="0"/>
          <w:sz w:val="32"/>
          <w:szCs w:val="32"/>
        </w:rPr>
      </w:pPr>
      <w:r>
        <w:rPr>
          <w:rFonts w:ascii="??" w:hAnsi="??" w:cs="仿宋_GB2312"/>
          <w:bCs/>
          <w:kern w:val="0"/>
          <w:sz w:val="32"/>
          <w:szCs w:val="32"/>
        </w:rPr>
        <w:t>1.</w:t>
      </w:r>
      <w:r>
        <w:rPr>
          <w:rFonts w:hint="eastAsia" w:ascii="宋体" w:hAnsi="宋体" w:cs="宋体"/>
          <w:bCs/>
          <w:kern w:val="0"/>
          <w:sz w:val="32"/>
          <w:szCs w:val="32"/>
        </w:rPr>
        <w:t>项目招投标情况：按照《中华人民共和国招标投标法实施条例</w:t>
      </w:r>
      <w:bookmarkStart w:id="0" w:name="_GoBack"/>
      <w:bookmarkEnd w:id="0"/>
      <w:r>
        <w:rPr>
          <w:rFonts w:hint="eastAsia" w:ascii="宋体" w:hAnsi="宋体" w:cs="宋体"/>
          <w:bCs/>
          <w:kern w:val="0"/>
          <w:sz w:val="32"/>
          <w:szCs w:val="32"/>
        </w:rPr>
        <w:t>》、《新疆维吾尔自治区工程建设项目招标范围和规模标准规定》等相关规定和精神，通过竞争性谈判等方式进行项目招投标。</w:t>
      </w:r>
    </w:p>
    <w:p>
      <w:pPr>
        <w:spacing w:line="500" w:lineRule="exact"/>
        <w:ind w:left="105" w:leftChars="50" w:right="105" w:rightChars="50" w:firstLine="640" w:firstLineChars="200"/>
        <w:rPr>
          <w:rFonts w:ascii="??" w:hAnsi="??" w:cs="仿宋_GB2312"/>
          <w:bCs/>
          <w:kern w:val="0"/>
          <w:sz w:val="32"/>
          <w:szCs w:val="32"/>
        </w:rPr>
      </w:pPr>
      <w:r>
        <w:rPr>
          <w:rFonts w:ascii="??" w:hAnsi="??" w:cs="仿宋_GB2312"/>
          <w:bCs/>
          <w:kern w:val="0"/>
          <w:sz w:val="32"/>
          <w:szCs w:val="32"/>
        </w:rPr>
        <w:t>2.</w:t>
      </w:r>
      <w:r>
        <w:rPr>
          <w:rFonts w:hint="eastAsia" w:ascii="宋体" w:hAnsi="宋体" w:cs="宋体"/>
          <w:bCs/>
          <w:kern w:val="0"/>
          <w:sz w:val="32"/>
          <w:szCs w:val="32"/>
        </w:rPr>
        <w:t>项目验收情况：项目已完工并验收。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/>
        <w:rPr>
          <w:rStyle w:val="17"/>
          <w:rFonts w:ascii="??" w:hAnsi="??"/>
          <w:b w:val="0"/>
          <w:spacing w:val="-4"/>
          <w:sz w:val="32"/>
          <w:szCs w:val="32"/>
        </w:rPr>
      </w:pPr>
      <w:r>
        <w:rPr>
          <w:rStyle w:val="17"/>
          <w:rFonts w:hint="eastAsia" w:ascii="宋体" w:hAnsi="宋体" w:cs="宋体"/>
          <w:b w:val="0"/>
          <w:spacing w:val="-4"/>
          <w:sz w:val="32"/>
          <w:szCs w:val="32"/>
        </w:rPr>
        <w:t>该项目通过公开招标，确定</w:t>
      </w:r>
      <w:r>
        <w:rPr>
          <w:rFonts w:hint="eastAsia"/>
          <w:b/>
          <w:sz w:val="32"/>
          <w:szCs w:val="32"/>
        </w:rPr>
        <w:t>新疆华洋建筑安装有限公司中标</w:t>
      </w:r>
      <w:r>
        <w:rPr>
          <w:rStyle w:val="17"/>
          <w:rFonts w:hint="eastAsia" w:ascii="宋体" w:hAnsi="宋体" w:cs="宋体"/>
          <w:b w:val="0"/>
          <w:spacing w:val="-4"/>
          <w:sz w:val="32"/>
          <w:szCs w:val="32"/>
        </w:rPr>
        <w:t>为最终中标单位，进行项目的施工建设。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7"/>
          <w:rFonts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Fonts w:ascii="仿宋_GB2312" w:eastAsia="仿宋_GB2312"/>
          <w:sz w:val="32"/>
          <w:szCs w:val="32"/>
        </w:rPr>
      </w:pPr>
      <w:r>
        <w:rPr>
          <w:rStyle w:val="17"/>
          <w:rFonts w:ascii="??" w:hAnsi="??"/>
          <w:b w:val="0"/>
          <w:spacing w:val="-4"/>
          <w:sz w:val="32"/>
          <w:szCs w:val="32"/>
        </w:rPr>
        <w:t>1.</w:t>
      </w:r>
      <w:r>
        <w:rPr>
          <w:rStyle w:val="17"/>
          <w:rFonts w:hint="eastAsia" w:ascii="宋体" w:hAnsi="宋体" w:cs="宋体"/>
          <w:b w:val="0"/>
          <w:spacing w:val="-4"/>
          <w:sz w:val="32"/>
          <w:szCs w:val="32"/>
        </w:rPr>
        <w:t>数量指标：</w:t>
      </w:r>
      <w:r>
        <w:rPr>
          <w:rFonts w:hint="eastAsia" w:ascii="仿宋_GB2312" w:eastAsia="仿宋_GB2312"/>
          <w:sz w:val="32"/>
          <w:szCs w:val="32"/>
        </w:rPr>
        <w:t>城区团结路，光明南路、中华路、幸福路、建设路、部分人行道路面及花砖破损维修、城区凤鸣湖、红酒公园、西海公园地面硬化铺装、石凳桌椅、等设施进行维修</w:t>
      </w:r>
    </w:p>
    <w:p>
      <w:pPr>
        <w:spacing w:line="540" w:lineRule="exact"/>
        <w:ind w:firstLine="564" w:firstLineChars="181"/>
        <w:rPr>
          <w:rStyle w:val="17"/>
          <w:rFonts w:ascii="??" w:hAnsi="??"/>
          <w:b w:val="0"/>
          <w:spacing w:val="-4"/>
          <w:sz w:val="32"/>
          <w:szCs w:val="32"/>
        </w:rPr>
      </w:pPr>
      <w:r>
        <w:rPr>
          <w:rStyle w:val="17"/>
          <w:rFonts w:ascii="??" w:hAnsi="??"/>
          <w:b w:val="0"/>
          <w:spacing w:val="-4"/>
          <w:sz w:val="32"/>
          <w:szCs w:val="32"/>
        </w:rPr>
        <w:t>2.</w:t>
      </w:r>
      <w:r>
        <w:rPr>
          <w:rStyle w:val="17"/>
          <w:rFonts w:hint="eastAsia" w:ascii="宋体" w:hAnsi="宋体" w:cs="宋体"/>
          <w:b w:val="0"/>
          <w:spacing w:val="-4"/>
          <w:sz w:val="32"/>
          <w:szCs w:val="32"/>
        </w:rPr>
        <w:t>质量指标：所有项目严格遵守《城市道路管理规范》竣工验收程序按期验收，</w:t>
      </w:r>
      <w:r>
        <w:rPr>
          <w:rStyle w:val="17"/>
          <w:rFonts w:ascii="??" w:hAnsi="??"/>
          <w:b w:val="0"/>
          <w:spacing w:val="-4"/>
          <w:sz w:val="32"/>
          <w:szCs w:val="32"/>
        </w:rPr>
        <w:t>2018</w:t>
      </w:r>
      <w:r>
        <w:rPr>
          <w:rStyle w:val="17"/>
          <w:rFonts w:hint="eastAsia" w:ascii="宋体" w:hAnsi="宋体" w:cs="宋体"/>
          <w:b w:val="0"/>
          <w:spacing w:val="-4"/>
          <w:sz w:val="32"/>
          <w:szCs w:val="32"/>
        </w:rPr>
        <w:t>年验收合格率达到</w:t>
      </w:r>
      <w:r>
        <w:rPr>
          <w:rStyle w:val="17"/>
          <w:rFonts w:ascii="??" w:hAnsi="??"/>
          <w:b w:val="0"/>
          <w:spacing w:val="-4"/>
          <w:sz w:val="32"/>
          <w:szCs w:val="32"/>
        </w:rPr>
        <w:t>95%</w:t>
      </w:r>
      <w:r>
        <w:rPr>
          <w:rStyle w:val="17"/>
          <w:rFonts w:hint="eastAsia" w:ascii="宋体" w:hAnsi="宋体" w:cs="宋体"/>
          <w:b w:val="0"/>
          <w:spacing w:val="-4"/>
          <w:sz w:val="32"/>
          <w:szCs w:val="32"/>
        </w:rPr>
        <w:t>。</w:t>
      </w:r>
    </w:p>
    <w:p>
      <w:pPr>
        <w:spacing w:line="540" w:lineRule="exact"/>
        <w:ind w:firstLine="564" w:firstLineChars="181"/>
        <w:rPr>
          <w:rStyle w:val="17"/>
          <w:rFonts w:ascii="??" w:hAnsi="??"/>
          <w:b w:val="0"/>
          <w:spacing w:val="-4"/>
          <w:sz w:val="32"/>
          <w:szCs w:val="32"/>
        </w:rPr>
      </w:pPr>
      <w:r>
        <w:rPr>
          <w:rStyle w:val="17"/>
          <w:rFonts w:ascii="??" w:hAnsi="??"/>
          <w:b w:val="0"/>
          <w:spacing w:val="-4"/>
          <w:sz w:val="32"/>
          <w:szCs w:val="32"/>
        </w:rPr>
        <w:t>3.</w:t>
      </w:r>
      <w:r>
        <w:rPr>
          <w:rStyle w:val="17"/>
          <w:rFonts w:hint="eastAsia" w:ascii="宋体" w:hAnsi="宋体" w:cs="宋体"/>
          <w:b w:val="0"/>
          <w:spacing w:val="-4"/>
          <w:sz w:val="32"/>
          <w:szCs w:val="32"/>
        </w:rPr>
        <w:t>社会及生态效益指标：通过该项目建设，改善城区交通安全及行人通行安全。</w:t>
      </w:r>
    </w:p>
    <w:p>
      <w:pPr>
        <w:spacing w:line="540" w:lineRule="exact"/>
        <w:ind w:firstLine="564" w:firstLineChars="181"/>
        <w:rPr>
          <w:rStyle w:val="17"/>
          <w:rFonts w:ascii="??" w:hAnsi="??"/>
          <w:b w:val="0"/>
          <w:spacing w:val="-4"/>
          <w:sz w:val="32"/>
          <w:szCs w:val="32"/>
        </w:rPr>
      </w:pPr>
      <w:r>
        <w:rPr>
          <w:rStyle w:val="17"/>
          <w:rFonts w:ascii="??" w:hAnsi="??"/>
          <w:b w:val="0"/>
          <w:spacing w:val="-4"/>
          <w:sz w:val="32"/>
          <w:szCs w:val="32"/>
        </w:rPr>
        <w:t>4.</w:t>
      </w:r>
      <w:r>
        <w:rPr>
          <w:rStyle w:val="17"/>
          <w:rFonts w:hint="eastAsia" w:ascii="宋体" w:hAnsi="宋体" w:cs="宋体"/>
          <w:b w:val="0"/>
          <w:spacing w:val="-4"/>
          <w:sz w:val="32"/>
          <w:szCs w:val="32"/>
        </w:rPr>
        <w:t>可持续影响指标：该项目建成后预期能够长期使用，由住建局负责后期的管理、维护及运行工作。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该项目绩效目标已完成。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624" w:firstLineChars="200"/>
        <w:rPr>
          <w:rFonts w:ascii="??" w:hAnsi="??"/>
          <w:bCs/>
          <w:spacing w:val="-4"/>
          <w:sz w:val="32"/>
          <w:szCs w:val="32"/>
        </w:rPr>
      </w:pPr>
      <w:r>
        <w:rPr>
          <w:rFonts w:hint="eastAsia" w:ascii="宋体" w:hAnsi="宋体" w:cs="宋体"/>
          <w:bCs/>
          <w:spacing w:val="-4"/>
          <w:sz w:val="32"/>
          <w:szCs w:val="32"/>
        </w:rPr>
        <w:t>一、按合同约定，由施工单位进行城市道路维修，确保城市道路的正常运行。</w:t>
      </w:r>
    </w:p>
    <w:p>
      <w:pPr>
        <w:spacing w:line="540" w:lineRule="exact"/>
        <w:ind w:firstLine="624" w:firstLineChars="200"/>
        <w:rPr>
          <w:rFonts w:ascii="??" w:hAnsi="??"/>
          <w:spacing w:val="-4"/>
          <w:sz w:val="32"/>
          <w:szCs w:val="32"/>
        </w:rPr>
      </w:pPr>
      <w:r>
        <w:rPr>
          <w:rFonts w:hint="eastAsia" w:ascii="宋体" w:hAnsi="宋体" w:cs="宋体"/>
          <w:bCs/>
          <w:spacing w:val="-4"/>
          <w:sz w:val="32"/>
          <w:szCs w:val="32"/>
        </w:rPr>
        <w:t>二、按照合同约定，按比例支付该项施工款。</w:t>
      </w:r>
    </w:p>
    <w:p>
      <w:pPr>
        <w:spacing w:line="540" w:lineRule="exact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79" w:firstLineChars="181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对城乡基础设施建设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跟踪落实、开工建设、后期管理，确保项目按要求完工；确保项目按要求完工；建立项目的支付明细，做到专款专用。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其他</w:t>
      </w:r>
    </w:p>
    <w:p>
      <w:pPr>
        <w:spacing w:line="540" w:lineRule="exact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ascii="??" w:hAnsi="??"/>
          <w:spacing w:val="-4"/>
          <w:sz w:val="32"/>
          <w:szCs w:val="32"/>
        </w:rPr>
        <w:t xml:space="preserve">      </w:t>
      </w:r>
      <w:r>
        <w:rPr>
          <w:rFonts w:hint="eastAsia" w:ascii="宋体" w:hAnsi="宋体" w:cs="宋体"/>
          <w:spacing w:val="-4"/>
          <w:sz w:val="32"/>
          <w:szCs w:val="32"/>
        </w:rPr>
        <w:t>其他情况无</w:t>
      </w: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ascii="黑体" w:hAnsi="黑体" w:eastAsia="黑体"/>
          <w:b w:val="0"/>
          <w:spacing w:val="-4"/>
          <w:sz w:val="32"/>
          <w:szCs w:val="32"/>
        </w:rPr>
        <w:t xml:space="preserve">  </w:t>
      </w: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??" w:hAnsi="??"/>
          <w:spacing w:val="-4"/>
          <w:sz w:val="32"/>
          <w:szCs w:val="32"/>
        </w:rPr>
      </w:pPr>
      <w:r>
        <w:rPr>
          <w:rFonts w:hint="eastAsia" w:ascii="宋体" w:hAnsi="宋体" w:cs="宋体"/>
          <w:spacing w:val="-4"/>
          <w:sz w:val="32"/>
          <w:szCs w:val="32"/>
        </w:rPr>
        <w:t>该项目的基础数据收集完整，资料来源真实可信，项目的施工通过公开招标的方式确定中标单位，项目现场勘验、检查、核实等情况与实际情况相符。</w:t>
      </w: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ascii="黑体" w:hAnsi="黑体" w:eastAsia="黑体"/>
          <w:b w:val="0"/>
          <w:spacing w:val="-4"/>
          <w:sz w:val="32"/>
          <w:szCs w:val="32"/>
        </w:rPr>
        <w:t xml:space="preserve">  </w:t>
      </w: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ascii="??" w:hAnsi="??"/>
          <w:b w:val="0"/>
          <w:spacing w:val="-4"/>
          <w:sz w:val="32"/>
          <w:szCs w:val="32"/>
        </w:rPr>
      </w:pPr>
      <w:r>
        <w:rPr>
          <w:rStyle w:val="17"/>
          <w:rFonts w:hint="eastAsia" w:ascii="宋体" w:hAnsi="宋体" w:cs="宋体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rPr>
          <w:rStyle w:val="17"/>
          <w:rFonts w:ascii="??" w:hAnsi="??"/>
          <w:b w:val="0"/>
          <w:spacing w:val="-4"/>
          <w:sz w:val="32"/>
          <w:szCs w:val="32"/>
        </w:rPr>
      </w:pPr>
    </w:p>
    <w:tbl>
      <w:tblPr>
        <w:tblStyle w:val="15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2233" w:firstLineChars="695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2018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sz w:val="24"/>
              </w:rPr>
            </w:pPr>
            <w:r>
              <w:rPr>
                <w:rFonts w:hAnsi="宋体" w:eastAsia="仿宋_GB2312" w:cs="宋体"/>
                <w:kern w:val="0"/>
                <w:sz w:val="24"/>
              </w:rPr>
              <w:t>2018</w:t>
            </w:r>
            <w:r>
              <w:rPr>
                <w:rFonts w:hint="eastAsia" w:hAnsi="宋体" w:eastAsia="仿宋_GB2312" w:cs="宋体"/>
                <w:kern w:val="0"/>
                <w:sz w:val="24"/>
              </w:rPr>
              <w:t>年城市基础设施维修项目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700" w:lineRule="exact"/>
              <w:jc w:val="left"/>
              <w:rPr>
                <w:rFonts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kern w:val="0"/>
                <w:sz w:val="28"/>
                <w:szCs w:val="28"/>
              </w:rPr>
              <w:t>玛纳斯县住房和城乡建设局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86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81"/>
                <w:tab w:val="right" w:pos="1884"/>
              </w:tabs>
              <w:jc w:val="center"/>
              <w:rPr>
                <w:rFonts w:hint="default" w:asci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86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600" w:firstLineChars="300"/>
              <w:jc w:val="both"/>
              <w:rPr>
                <w:rFonts w:hint="default" w:asci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hint="eastAsia" w:ascii="??" w:hAnsi="??" w:cs="仿宋_GB2312"/>
                <w:bCs/>
                <w:kern w:val="0"/>
                <w:sz w:val="28"/>
                <w:szCs w:val="28"/>
              </w:rPr>
              <w:t>全部修补完成并投入使用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hint="eastAsia" w:ascii="??" w:hAnsi="??" w:cs="仿宋_GB2312"/>
                <w:bCs/>
                <w:kern w:val="0"/>
                <w:sz w:val="28"/>
                <w:szCs w:val="28"/>
              </w:rPr>
              <w:t>全部修补完成并投入使用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修补人行道</w:t>
            </w: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45</w:t>
            </w:r>
            <w:r>
              <w:rPr>
                <w:rFonts w:ascii="宋体" w:cs="宋体"/>
                <w:kern w:val="0"/>
                <w:sz w:val="20"/>
                <w:szCs w:val="20"/>
              </w:rPr>
              <w:t>00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平米、公园硬化铺装</w:t>
            </w:r>
            <w:r>
              <w:rPr>
                <w:rFonts w:ascii="宋体" w:cs="宋体"/>
                <w:kern w:val="0"/>
                <w:sz w:val="20"/>
                <w:szCs w:val="20"/>
              </w:rPr>
              <w:t>500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平米，更换石凳桌椅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修补破损道路</w:t>
            </w:r>
            <w:r>
              <w:rPr>
                <w:rFonts w:ascii="宋体" w:cs="宋体"/>
                <w:kern w:val="0"/>
                <w:sz w:val="20"/>
                <w:szCs w:val="20"/>
              </w:rPr>
              <w:t>4500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平米、公园硬化铺装</w:t>
            </w:r>
            <w:r>
              <w:rPr>
                <w:rFonts w:ascii="宋体" w:cs="宋体"/>
                <w:kern w:val="0"/>
                <w:sz w:val="20"/>
                <w:szCs w:val="20"/>
              </w:rPr>
              <w:t>500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平米，更换石凳桌椅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完成</w:t>
            </w: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45</w:t>
            </w:r>
            <w:r>
              <w:rPr>
                <w:rFonts w:ascii="宋体" w:cs="宋体"/>
                <w:kern w:val="0"/>
                <w:sz w:val="20"/>
                <w:szCs w:val="20"/>
              </w:rPr>
              <w:t>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平米人行道修补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公园硬化铺装</w:t>
            </w:r>
            <w:r>
              <w:rPr>
                <w:rFonts w:ascii="宋体" w:cs="宋体"/>
                <w:kern w:val="0"/>
                <w:sz w:val="20"/>
                <w:szCs w:val="20"/>
              </w:rPr>
              <w:t>500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平米，更换石凳桌椅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验收合格率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工期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天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45"/>
              </w:tabs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cs="宋体"/>
                <w:kern w:val="0"/>
                <w:sz w:val="20"/>
                <w:szCs w:val="20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45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平米人行道路修补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设计功能实现率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提升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城市公共服务能力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提升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益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建成后使用时间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建成后长期使用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建成后长期使用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居民满意度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95%</w:t>
            </w:r>
          </w:p>
        </w:tc>
      </w:tr>
    </w:tbl>
    <w:p>
      <w:pPr>
        <w:spacing w:line="540" w:lineRule="exact"/>
        <w:ind w:firstLine="567"/>
        <w:rPr>
          <w:rStyle w:val="17"/>
          <w:rFonts w:ascii="??" w:hAnsi="??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11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 w:tentative="0">
      <w:start w:val="3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801"/>
    <w:rsid w:val="000012F3"/>
    <w:rsid w:val="000616F6"/>
    <w:rsid w:val="0012460D"/>
    <w:rsid w:val="00127811"/>
    <w:rsid w:val="00280B42"/>
    <w:rsid w:val="00310B43"/>
    <w:rsid w:val="003450EC"/>
    <w:rsid w:val="00345FEC"/>
    <w:rsid w:val="003854CC"/>
    <w:rsid w:val="00386942"/>
    <w:rsid w:val="00396AFC"/>
    <w:rsid w:val="003C129E"/>
    <w:rsid w:val="003C24FC"/>
    <w:rsid w:val="003D303B"/>
    <w:rsid w:val="00415631"/>
    <w:rsid w:val="004E6079"/>
    <w:rsid w:val="0052428F"/>
    <w:rsid w:val="005456D2"/>
    <w:rsid w:val="00550D43"/>
    <w:rsid w:val="00576270"/>
    <w:rsid w:val="006C42B3"/>
    <w:rsid w:val="007071A9"/>
    <w:rsid w:val="007076D3"/>
    <w:rsid w:val="00757E72"/>
    <w:rsid w:val="00764589"/>
    <w:rsid w:val="007C3500"/>
    <w:rsid w:val="00831D92"/>
    <w:rsid w:val="00916E44"/>
    <w:rsid w:val="00951367"/>
    <w:rsid w:val="009616F8"/>
    <w:rsid w:val="009637C0"/>
    <w:rsid w:val="00970801"/>
    <w:rsid w:val="00997DCD"/>
    <w:rsid w:val="009B0185"/>
    <w:rsid w:val="00A1183A"/>
    <w:rsid w:val="00A1209A"/>
    <w:rsid w:val="00A647CC"/>
    <w:rsid w:val="00AB4090"/>
    <w:rsid w:val="00B823D5"/>
    <w:rsid w:val="00C12AD0"/>
    <w:rsid w:val="00C8511D"/>
    <w:rsid w:val="00C91B71"/>
    <w:rsid w:val="00CA0924"/>
    <w:rsid w:val="00CE6CD2"/>
    <w:rsid w:val="00D4294C"/>
    <w:rsid w:val="00DD6BDF"/>
    <w:rsid w:val="00E94710"/>
    <w:rsid w:val="00F437B6"/>
    <w:rsid w:val="00F831BE"/>
    <w:rsid w:val="00F83B53"/>
    <w:rsid w:val="0BA6175D"/>
    <w:rsid w:val="0E27152D"/>
    <w:rsid w:val="144359AC"/>
    <w:rsid w:val="148A6E68"/>
    <w:rsid w:val="1B654FC1"/>
    <w:rsid w:val="262F280F"/>
    <w:rsid w:val="2FD04114"/>
    <w:rsid w:val="44F57FB5"/>
    <w:rsid w:val="6F74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4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3"/>
    <w:qFormat/>
    <w:uiPriority w:val="99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4"/>
    <w:qFormat/>
    <w:uiPriority w:val="99"/>
    <w:pPr>
      <w:widowControl/>
      <w:spacing w:before="240" w:after="60"/>
      <w:jc w:val="left"/>
      <w:outlineLvl w:val="5"/>
    </w:pPr>
    <w:rPr>
      <w:b/>
      <w:bCs/>
    </w:rPr>
  </w:style>
  <w:style w:type="paragraph" w:styleId="8">
    <w:name w:val="heading 7"/>
    <w:basedOn w:val="1"/>
    <w:next w:val="1"/>
    <w:link w:val="25"/>
    <w:qFormat/>
    <w:uiPriority w:val="99"/>
    <w:pPr>
      <w:widowControl/>
      <w:spacing w:before="240" w:after="60"/>
      <w:jc w:val="left"/>
      <w:outlineLvl w:val="6"/>
    </w:pPr>
    <w:rPr>
      <w:sz w:val="24"/>
    </w:rPr>
  </w:style>
  <w:style w:type="paragraph" w:styleId="9">
    <w:name w:val="heading 8"/>
    <w:basedOn w:val="1"/>
    <w:next w:val="1"/>
    <w:link w:val="26"/>
    <w:qFormat/>
    <w:uiPriority w:val="99"/>
    <w:pPr>
      <w:widowControl/>
      <w:spacing w:before="240" w:after="60"/>
      <w:jc w:val="left"/>
      <w:outlineLvl w:val="7"/>
    </w:pPr>
    <w:rPr>
      <w:i/>
      <w:iCs/>
      <w:sz w:val="24"/>
    </w:rPr>
  </w:style>
  <w:style w:type="paragraph" w:styleId="10">
    <w:name w:val="heading 9"/>
    <w:basedOn w:val="1"/>
    <w:next w:val="1"/>
    <w:link w:val="27"/>
    <w:qFormat/>
    <w:uiPriority w:val="99"/>
    <w:pPr>
      <w:widowControl/>
      <w:spacing w:before="240" w:after="60"/>
      <w:jc w:val="left"/>
      <w:outlineLvl w:val="8"/>
    </w:pPr>
    <w:rPr>
      <w:rFonts w:ascii="Cambria" w:hAnsi="Cambria"/>
    </w:rPr>
  </w:style>
  <w:style w:type="character" w:default="1" w:styleId="16">
    <w:name w:val="Default Paragraph Font"/>
    <w:semiHidden/>
    <w:qFormat/>
    <w:uiPriority w:val="99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28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link w:val="2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3">
    <w:name w:val="Subtitle"/>
    <w:basedOn w:val="1"/>
    <w:next w:val="1"/>
    <w:link w:val="30"/>
    <w:qFormat/>
    <w:uiPriority w:val="99"/>
    <w:pPr>
      <w:widowControl/>
      <w:spacing w:after="60"/>
      <w:jc w:val="center"/>
      <w:outlineLvl w:val="1"/>
    </w:pPr>
    <w:rPr>
      <w:rFonts w:ascii="Cambria" w:hAnsi="Cambria"/>
      <w:sz w:val="24"/>
    </w:rPr>
  </w:style>
  <w:style w:type="paragraph" w:styleId="14">
    <w:name w:val="Title"/>
    <w:basedOn w:val="1"/>
    <w:next w:val="1"/>
    <w:link w:val="31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99"/>
    <w:rPr>
      <w:rFonts w:cs="Times New Roman"/>
      <w:b/>
      <w:bCs/>
    </w:rPr>
  </w:style>
  <w:style w:type="character" w:styleId="18">
    <w:name w:val="Emphasis"/>
    <w:basedOn w:val="16"/>
    <w:qFormat/>
    <w:uiPriority w:val="99"/>
    <w:rPr>
      <w:rFonts w:ascii="Calibri" w:hAnsi="Calibri" w:cs="Times New Roman"/>
      <w:b/>
      <w:i/>
      <w:iCs/>
    </w:rPr>
  </w:style>
  <w:style w:type="character" w:customStyle="1" w:styleId="19">
    <w:name w:val="Heading 1 Char"/>
    <w:basedOn w:val="16"/>
    <w:link w:val="2"/>
    <w:semiHidden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0">
    <w:name w:val="Heading 2 Char"/>
    <w:basedOn w:val="16"/>
    <w:link w:val="3"/>
    <w:semiHidden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1">
    <w:name w:val="Heading 3 Char"/>
    <w:basedOn w:val="16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2">
    <w:name w:val="Heading 4 Char"/>
    <w:basedOn w:val="16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3">
    <w:name w:val="Heading 5 Char"/>
    <w:basedOn w:val="16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4">
    <w:name w:val="Heading 6 Char"/>
    <w:basedOn w:val="16"/>
    <w:link w:val="7"/>
    <w:semiHidden/>
    <w:qFormat/>
    <w:locked/>
    <w:uiPriority w:val="99"/>
    <w:rPr>
      <w:rFonts w:cs="Times New Roman"/>
      <w:b/>
      <w:bCs/>
    </w:rPr>
  </w:style>
  <w:style w:type="character" w:customStyle="1" w:styleId="25">
    <w:name w:val="Heading 7 Char"/>
    <w:basedOn w:val="16"/>
    <w:link w:val="8"/>
    <w:semiHidden/>
    <w:locked/>
    <w:uiPriority w:val="99"/>
    <w:rPr>
      <w:rFonts w:cs="Times New Roman"/>
      <w:sz w:val="24"/>
      <w:szCs w:val="24"/>
    </w:rPr>
  </w:style>
  <w:style w:type="character" w:customStyle="1" w:styleId="26">
    <w:name w:val="Heading 8 Char"/>
    <w:basedOn w:val="16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7">
    <w:name w:val="Heading 9 Char"/>
    <w:basedOn w:val="16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28">
    <w:name w:val="Footer Char"/>
    <w:basedOn w:val="16"/>
    <w:link w:val="11"/>
    <w:semiHidden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29">
    <w:name w:val="Header Char"/>
    <w:basedOn w:val="16"/>
    <w:link w:val="12"/>
    <w:semiHidden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0">
    <w:name w:val="Subtitle Char"/>
    <w:basedOn w:val="16"/>
    <w:link w:val="13"/>
    <w:semiHidden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1">
    <w:name w:val="Title Char"/>
    <w:basedOn w:val="16"/>
    <w:link w:val="14"/>
    <w:semiHidden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32">
    <w:name w:val="Block Text1"/>
    <w:basedOn w:val="1"/>
    <w:next w:val="1"/>
    <w:link w:val="39"/>
    <w:qFormat/>
    <w:uiPriority w:val="99"/>
    <w:pPr>
      <w:widowControl/>
      <w:jc w:val="left"/>
    </w:pPr>
    <w:rPr>
      <w:i/>
      <w:sz w:val="24"/>
    </w:rPr>
  </w:style>
  <w:style w:type="paragraph" w:customStyle="1" w:styleId="33">
    <w:name w:val="批注框文本 Char Char"/>
    <w:basedOn w:val="1"/>
    <w:link w:val="38"/>
    <w:qFormat/>
    <w:uiPriority w:val="99"/>
    <w:rPr>
      <w:sz w:val="18"/>
      <w:szCs w:val="18"/>
    </w:rPr>
  </w:style>
  <w:style w:type="paragraph" w:customStyle="1" w:styleId="34">
    <w:name w:val="No Spacing1"/>
    <w:basedOn w:val="1"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35">
    <w:name w:val="List Paragraph1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36">
    <w:name w:val="Intense Quote1"/>
    <w:basedOn w:val="1"/>
    <w:next w:val="1"/>
    <w:link w:val="40"/>
    <w:qFormat/>
    <w:uiPriority w:val="99"/>
    <w:pPr>
      <w:widowControl/>
      <w:ind w:left="720" w:right="720"/>
      <w:jc w:val="left"/>
    </w:pPr>
    <w:rPr>
      <w:b/>
      <w:i/>
      <w:sz w:val="24"/>
    </w:rPr>
  </w:style>
  <w:style w:type="paragraph" w:customStyle="1" w:styleId="37">
    <w:name w:val="TOC Heading1"/>
    <w:basedOn w:val="2"/>
    <w:next w:val="1"/>
    <w:uiPriority w:val="99"/>
    <w:pPr>
      <w:outlineLvl w:val="9"/>
    </w:pPr>
    <w:rPr>
      <w:lang w:eastAsia="en-US"/>
    </w:rPr>
  </w:style>
  <w:style w:type="character" w:customStyle="1" w:styleId="38">
    <w:name w:val="Balloon Text Char"/>
    <w:basedOn w:val="16"/>
    <w:link w:val="33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9">
    <w:name w:val="Quote Char"/>
    <w:basedOn w:val="16"/>
    <w:link w:val="32"/>
    <w:semiHidden/>
    <w:qFormat/>
    <w:locked/>
    <w:uiPriority w:val="99"/>
    <w:rPr>
      <w:rFonts w:cs="Times New Roman"/>
      <w:i/>
      <w:sz w:val="24"/>
      <w:szCs w:val="24"/>
    </w:rPr>
  </w:style>
  <w:style w:type="character" w:customStyle="1" w:styleId="40">
    <w:name w:val="Intense Quote Char Char"/>
    <w:basedOn w:val="16"/>
    <w:link w:val="36"/>
    <w:semiHidden/>
    <w:qFormat/>
    <w:locked/>
    <w:uiPriority w:val="99"/>
    <w:rPr>
      <w:rFonts w:cs="Times New Roman"/>
      <w:b/>
      <w:i/>
      <w:sz w:val="24"/>
    </w:rPr>
  </w:style>
  <w:style w:type="character" w:customStyle="1" w:styleId="41">
    <w:name w:val="Subtle Emphasis1"/>
    <w:uiPriority w:val="99"/>
    <w:rPr>
      <w:i/>
      <w:color w:val="595959"/>
    </w:rPr>
  </w:style>
  <w:style w:type="character" w:customStyle="1" w:styleId="42">
    <w:name w:val="Intense Emphasis1"/>
    <w:basedOn w:val="16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Subtle Reference1"/>
    <w:basedOn w:val="16"/>
    <w:qFormat/>
    <w:uiPriority w:val="99"/>
    <w:rPr>
      <w:rFonts w:cs="Times New Roman"/>
      <w:sz w:val="24"/>
      <w:szCs w:val="24"/>
      <w:u w:val="single"/>
    </w:rPr>
  </w:style>
  <w:style w:type="character" w:customStyle="1" w:styleId="44">
    <w:name w:val="Intense Reference1"/>
    <w:basedOn w:val="16"/>
    <w:uiPriority w:val="99"/>
    <w:rPr>
      <w:rFonts w:cs="Times New Roman"/>
      <w:b/>
      <w:sz w:val="24"/>
      <w:u w:val="single"/>
    </w:rPr>
  </w:style>
  <w:style w:type="character" w:customStyle="1" w:styleId="45">
    <w:name w:val="Book Title1"/>
    <w:basedOn w:val="16"/>
    <w:qFormat/>
    <w:uiPriority w:val="99"/>
    <w:rPr>
      <w:rFonts w:ascii="Cambria" w:hAnsi="Cambria" w:eastAsia="宋体" w:cs="Times New Roman"/>
      <w:b/>
      <w:i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336</Words>
  <Characters>1918</Characters>
  <Lines>0</Lines>
  <Paragraphs>0</Paragraphs>
  <TotalTime>1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2018-08-15T18:06:00Z</dcterms:created>
  <dc:creator>赵 恺（预算处）</dc:creator>
  <cp:lastModifiedBy>Administrator</cp:lastModifiedBy>
  <cp:lastPrinted>2019-01-14T04:20:00Z</cp:lastPrinted>
  <dcterms:modified xsi:type="dcterms:W3CDTF">2024-03-28T10:47:45Z</dcterms:modified>
  <dc:title>微软用户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