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??" w:hAnsi="??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附件</w:t>
      </w:r>
      <w:r>
        <w:rPr>
          <w:rFonts w:ascii="??" w:hAnsi="??" w:cs="宋体"/>
          <w:kern w:val="0"/>
          <w:sz w:val="32"/>
          <w:szCs w:val="32"/>
        </w:rPr>
        <w:t>1</w:t>
      </w:r>
      <w:r>
        <w:rPr>
          <w:rFonts w:hint="eastAsia" w:ascii="宋体" w:hAnsi="宋体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ind w:left="31680" w:hanging="1980" w:hangingChars="550"/>
        <w:jc w:val="left"/>
        <w:rPr>
          <w:rFonts w:ascii="宋体" w:cs="宋体"/>
          <w:color w:val="00000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ascii="??" w:hAnsi="??"/>
          <w:color w:val="000000"/>
          <w:sz w:val="36"/>
          <w:szCs w:val="36"/>
        </w:rPr>
        <w:t>2018</w:t>
      </w:r>
      <w:r>
        <w:rPr>
          <w:rFonts w:hint="eastAsia" w:ascii="宋体" w:hAnsi="宋体" w:cs="宋体"/>
          <w:color w:val="000000"/>
          <w:sz w:val="36"/>
          <w:szCs w:val="36"/>
        </w:rPr>
        <w:t>年城市公用电力设施维护费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实施单位（公章）：玛纳斯县住房和城乡建设局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主管部门（公章）：玛纳斯县住房和城乡建设局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项目负责人（签章）：陆文栋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</w:t>
      </w: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   2018 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 xml:space="preserve"> 9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25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79" w:firstLineChars="181"/>
        <w:rPr>
          <w:rFonts w:ascii="??" w:hAnsi="??" w:cs="??"/>
          <w:kern w:val="0"/>
          <w:sz w:val="32"/>
          <w:szCs w:val="32"/>
        </w:rPr>
      </w:pPr>
      <w:r>
        <w:rPr>
          <w:rFonts w:ascii="??" w:hAnsi="??" w:cs="??"/>
          <w:kern w:val="0"/>
          <w:sz w:val="32"/>
          <w:szCs w:val="32"/>
        </w:rPr>
        <w:t>1</w:t>
      </w:r>
      <w:r>
        <w:rPr>
          <w:rFonts w:hint="eastAsia" w:ascii="宋体" w:hAnsi="宋体" w:cs="宋体"/>
          <w:kern w:val="0"/>
          <w:sz w:val="32"/>
          <w:szCs w:val="32"/>
        </w:rPr>
        <w:t>．主要职能</w:t>
      </w:r>
    </w:p>
    <w:p>
      <w:pPr>
        <w:spacing w:line="540" w:lineRule="exact"/>
        <w:ind w:firstLine="579" w:firstLineChars="181"/>
        <w:rPr>
          <w:rFonts w:ascii="??" w:hAnsi="??" w:cs="??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指导全县建筑业活动，培育规范建筑市场，指导监督建筑市场，管理工程招投标，工程质量和施工安全。负责全县住宅和房地产业的行业管理。负责组织实施各类房屋建筑的抗震加固，负责全县的基础设施建设，负责全县保障性住房建设及管理。</w:t>
      </w:r>
    </w:p>
    <w:p>
      <w:pPr>
        <w:spacing w:line="540" w:lineRule="exact"/>
        <w:ind w:firstLine="579" w:firstLineChars="181"/>
        <w:rPr>
          <w:rFonts w:ascii="??" w:hAnsi="??" w:cs="??"/>
          <w:kern w:val="0"/>
          <w:sz w:val="32"/>
          <w:szCs w:val="32"/>
        </w:rPr>
      </w:pPr>
      <w:r>
        <w:rPr>
          <w:rFonts w:ascii="??" w:hAnsi="??" w:cs="??"/>
          <w:kern w:val="0"/>
          <w:sz w:val="32"/>
          <w:szCs w:val="32"/>
        </w:rPr>
        <w:t>2</w:t>
      </w:r>
      <w:r>
        <w:rPr>
          <w:rFonts w:hint="eastAsia" w:ascii="宋体" w:hAnsi="宋体" w:cs="宋体"/>
          <w:kern w:val="0"/>
          <w:sz w:val="32"/>
          <w:szCs w:val="32"/>
        </w:rPr>
        <w:t>．机构情况</w:t>
      </w:r>
    </w:p>
    <w:p>
      <w:pPr>
        <w:spacing w:line="540" w:lineRule="exact"/>
        <w:ind w:firstLine="579" w:firstLineChars="181"/>
        <w:rPr>
          <w:rFonts w:ascii="??" w:hAnsi="??" w:cs="??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住建局下设</w:t>
      </w:r>
      <w:r>
        <w:rPr>
          <w:rFonts w:ascii="??" w:hAnsi="??" w:cs="??"/>
          <w:kern w:val="0"/>
          <w:sz w:val="32"/>
          <w:szCs w:val="32"/>
        </w:rPr>
        <w:t>9</w:t>
      </w:r>
      <w:r>
        <w:rPr>
          <w:rFonts w:hint="eastAsia" w:ascii="宋体" w:hAnsi="宋体" w:cs="宋体"/>
          <w:kern w:val="0"/>
          <w:sz w:val="32"/>
          <w:szCs w:val="32"/>
        </w:rPr>
        <w:t>个处室，分别是：玛纳斯县城建监察大队、玛纳斯县建设工程安监站、玛纳斯县建设工程质量监督站、玛纳斯县建筑市场管理办公室、玛纳斯县房地产管理所、玛纳斯县建设工程造价管理站、玛纳斯县燃气供热服务站、玛纳斯县城建档案室、玛纳斯县市政建设服务中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640"/>
        <w:jc w:val="left"/>
        <w:rPr>
          <w:rFonts w:asci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预期目标：通过维护城市道路照明设施及交通信号灯设施</w:t>
      </w:r>
      <w:r>
        <w:rPr>
          <w:rFonts w:ascii="宋体" w:hAnsi="宋体" w:cs="宋体"/>
          <w:sz w:val="32"/>
          <w:szCs w:val="32"/>
        </w:rPr>
        <w:t>,</w:t>
      </w:r>
      <w:r>
        <w:rPr>
          <w:rFonts w:hint="eastAsia" w:ascii="宋体" w:hAnsi="宋体" w:cs="宋体"/>
          <w:sz w:val="32"/>
          <w:szCs w:val="32"/>
        </w:rPr>
        <w:t>确保基础设施完整性，保证基础设施正常运行。</w:t>
      </w:r>
    </w:p>
    <w:p>
      <w:pPr>
        <w:spacing w:line="540" w:lineRule="exact"/>
        <w:ind w:firstLine="640"/>
        <w:jc w:val="left"/>
        <w:rPr>
          <w:rFonts w:ascii="??" w:hAnsi="??"/>
          <w:color w:val="000000"/>
          <w:sz w:val="30"/>
          <w:szCs w:val="30"/>
        </w:rPr>
      </w:pPr>
      <w:r>
        <w:rPr>
          <w:rFonts w:hint="eastAsia" w:ascii="宋体" w:hAnsi="宋体" w:cs="宋体"/>
          <w:sz w:val="32"/>
          <w:szCs w:val="32"/>
        </w:rPr>
        <w:t>项目性质及用途：该项目属于</w:t>
      </w:r>
      <w:r>
        <w:rPr>
          <w:rFonts w:ascii="宋体" w:hAnsi="宋体" w:cs="宋体"/>
          <w:sz w:val="32"/>
          <w:szCs w:val="32"/>
        </w:rPr>
        <w:t>2018</w:t>
      </w:r>
      <w:r>
        <w:rPr>
          <w:rFonts w:hint="eastAsia" w:ascii="宋体" w:hAnsi="宋体" w:cs="宋体"/>
          <w:sz w:val="32"/>
          <w:szCs w:val="32"/>
        </w:rPr>
        <w:t>年</w:t>
      </w:r>
      <w:r>
        <w:rPr>
          <w:rFonts w:hint="eastAsia" w:ascii="??" w:hAnsi="??"/>
          <w:color w:val="000000"/>
          <w:sz w:val="30"/>
          <w:szCs w:val="30"/>
        </w:rPr>
        <w:t>城市公用电力设施维修项目。</w:t>
      </w:r>
    </w:p>
    <w:p>
      <w:pPr>
        <w:spacing w:line="540" w:lineRule="exact"/>
        <w:ind w:firstLine="640"/>
        <w:jc w:val="left"/>
        <w:rPr>
          <w:rFonts w:asci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主要内容及涉及范围：</w:t>
      </w:r>
      <w:r>
        <w:rPr>
          <w:rFonts w:hint="eastAsia" w:ascii="仿宋_GB2312" w:eastAsia="仿宋_GB2312"/>
          <w:sz w:val="32"/>
          <w:szCs w:val="32"/>
        </w:rPr>
        <w:t>城区主要道路照明设施及交通信号灯维护及聘用维修电工人员工资</w:t>
      </w:r>
    </w:p>
    <w:p>
      <w:pPr>
        <w:spacing w:line="540" w:lineRule="exact"/>
        <w:ind w:firstLine="640"/>
        <w:jc w:val="lef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ind w:firstLine="600" w:firstLineChars="200"/>
        <w:rPr>
          <w:rFonts w:ascii="??" w:hAnsi="??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项目总投资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63</w:t>
      </w:r>
      <w:r>
        <w:rPr>
          <w:rFonts w:hint="eastAsia" w:ascii="宋体" w:hAnsi="宋体" w:cs="宋体"/>
          <w:color w:val="000000"/>
          <w:sz w:val="30"/>
          <w:szCs w:val="30"/>
        </w:rPr>
        <w:t>万元，资金均从县财政安排。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40"/>
        <w:jc w:val="left"/>
        <w:rPr>
          <w:rFonts w:ascii="宋体" w:cs="宋体"/>
          <w:sz w:val="32"/>
          <w:szCs w:val="32"/>
        </w:rPr>
      </w:pPr>
      <w:r>
        <w:rPr>
          <w:rFonts w:hint="eastAsia" w:ascii="宋体" w:hAnsi="宋体" w:cs="宋体"/>
          <w:bCs/>
          <w:kern w:val="0"/>
          <w:sz w:val="30"/>
          <w:szCs w:val="30"/>
        </w:rPr>
        <w:t>项目概况：</w:t>
      </w:r>
      <w:r>
        <w:rPr>
          <w:rFonts w:hint="eastAsia" w:ascii="仿宋_GB2312" w:eastAsia="仿宋_GB2312"/>
          <w:sz w:val="32"/>
          <w:szCs w:val="32"/>
        </w:rPr>
        <w:t>城区主要道路照明设施及交通信号灯维修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通过政府直拨资金</w:t>
      </w:r>
      <w:r>
        <w:rPr>
          <w:rFonts w:ascii="仿宋_GB2312" w:eastAsia="仿宋_GB2312"/>
          <w:sz w:val="32"/>
          <w:szCs w:val="32"/>
        </w:rPr>
        <w:t>35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聘用维修电工人员工资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,葡萄酒公园维修20万元</w:t>
      </w:r>
      <w:r>
        <w:rPr>
          <w:rFonts w:hint="eastAsia" w:ascii="仿宋_GB2312" w:eastAsia="仿宋_GB2312"/>
          <w:sz w:val="32"/>
          <w:szCs w:val="32"/>
        </w:rPr>
        <w:t>。合计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宋体" w:hAnsi="宋体" w:cs="宋体"/>
          <w:b w:val="0"/>
          <w:spacing w:val="-4"/>
          <w:sz w:val="30"/>
          <w:szCs w:val="30"/>
        </w:rPr>
        <w:t>按照维修进度</w:t>
      </w: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</w:rPr>
        <w:t>，实行维修材料采购，按合同约定，做好资金支付的审核审批手续</w:t>
      </w:r>
      <w:r>
        <w:rPr>
          <w:rFonts w:hint="eastAsia" w:ascii="微软雅黑" w:hAnsi="微软雅黑" w:eastAsia="微软雅黑"/>
          <w:color w:val="000000"/>
          <w:sz w:val="22"/>
          <w:szCs w:val="22"/>
          <w:shd w:val="clear" w:color="auto" w:fill="FFFFFF"/>
        </w:rPr>
        <w:t>，</w:t>
      </w:r>
      <w:r>
        <w:rPr>
          <w:rStyle w:val="17"/>
          <w:rFonts w:hint="eastAsia" w:ascii="宋体" w:hAnsi="宋体" w:cs="宋体"/>
          <w:b w:val="0"/>
          <w:spacing w:val="-4"/>
          <w:sz w:val="30"/>
          <w:szCs w:val="30"/>
        </w:rPr>
        <w:t>接受县财政局对资金使用的监督检查，确保资金运行安全。</w:t>
      </w: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00" w:lineRule="exact"/>
        <w:ind w:left="105" w:leftChars="50" w:right="105" w:rightChars="50" w:firstLine="640" w:firstLineChars="200"/>
        <w:rPr>
          <w:rFonts w:ascii="??" w:hAnsi="??" w:cs="仿宋_GB2312"/>
          <w:bCs/>
          <w:kern w:val="0"/>
          <w:sz w:val="32"/>
          <w:szCs w:val="32"/>
        </w:rPr>
      </w:pPr>
      <w:r>
        <w:rPr>
          <w:rFonts w:ascii="??" w:hAnsi="??" w:cs="仿宋_GB2312"/>
          <w:bCs/>
          <w:kern w:val="0"/>
          <w:sz w:val="32"/>
          <w:szCs w:val="32"/>
        </w:rPr>
        <w:t>1.</w:t>
      </w:r>
      <w:r>
        <w:rPr>
          <w:rFonts w:hint="eastAsia" w:ascii="宋体" w:hAnsi="宋体" w:cs="宋体"/>
          <w:bCs/>
          <w:kern w:val="0"/>
          <w:sz w:val="32"/>
          <w:szCs w:val="32"/>
        </w:rPr>
        <w:t>项目招投标情况：按照《中华人民共和国招标投标法实施条例</w:t>
      </w:r>
      <w:bookmarkStart w:id="0" w:name="_GoBack"/>
      <w:bookmarkEnd w:id="0"/>
      <w:r>
        <w:rPr>
          <w:rFonts w:hint="eastAsia" w:ascii="宋体" w:hAnsi="宋体" w:cs="宋体"/>
          <w:bCs/>
          <w:kern w:val="0"/>
          <w:sz w:val="32"/>
          <w:szCs w:val="32"/>
        </w:rPr>
        <w:t>》、《新疆维吾尔自治区工程建设项目招标范围和规模标准规定》等相关规定和精神，通过竞争性谈判等方式进行项目招投标。</w:t>
      </w:r>
    </w:p>
    <w:p>
      <w:pPr>
        <w:spacing w:line="500" w:lineRule="exact"/>
        <w:ind w:left="105" w:leftChars="50" w:right="105" w:rightChars="50" w:firstLine="640" w:firstLineChars="200"/>
        <w:rPr>
          <w:rFonts w:ascii="??" w:hAnsi="??" w:cs="仿宋_GB2312"/>
          <w:bCs/>
          <w:kern w:val="0"/>
          <w:sz w:val="32"/>
          <w:szCs w:val="32"/>
        </w:rPr>
      </w:pPr>
      <w:r>
        <w:rPr>
          <w:rFonts w:ascii="??" w:hAnsi="??" w:cs="仿宋_GB2312"/>
          <w:bCs/>
          <w:kern w:val="0"/>
          <w:sz w:val="32"/>
          <w:szCs w:val="32"/>
        </w:rPr>
        <w:t>2.</w:t>
      </w:r>
      <w:r>
        <w:rPr>
          <w:rFonts w:hint="eastAsia" w:ascii="宋体" w:hAnsi="宋体" w:cs="宋体"/>
          <w:bCs/>
          <w:kern w:val="0"/>
          <w:sz w:val="32"/>
          <w:szCs w:val="32"/>
        </w:rPr>
        <w:t>项目验收情况：完工并验收。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b/>
          <w:sz w:val="32"/>
          <w:szCs w:val="32"/>
        </w:rPr>
      </w:pPr>
      <w:r>
        <w:rPr>
          <w:rStyle w:val="17"/>
          <w:rFonts w:hint="eastAsia" w:ascii="宋体" w:hAnsi="宋体" w:cs="宋体"/>
          <w:b w:val="0"/>
          <w:spacing w:val="-4"/>
          <w:sz w:val="32"/>
          <w:szCs w:val="32"/>
        </w:rPr>
        <w:t>该项目通过询价采购，确定玛纳斯县常安机电商贸有限公司、新疆环宇飞亚照明电器有限公司为主要耗材供货商，进行道路照明设施及信号灯设施的耗材供应。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Fonts w:ascii="仿宋_GB2312" w:eastAsia="仿宋_GB2312"/>
          <w:sz w:val="32"/>
          <w:szCs w:val="32"/>
        </w:rPr>
      </w:pPr>
      <w:r>
        <w:rPr>
          <w:rStyle w:val="17"/>
          <w:rFonts w:ascii="??" w:hAnsi="??"/>
          <w:b w:val="0"/>
          <w:spacing w:val="-4"/>
          <w:sz w:val="32"/>
          <w:szCs w:val="32"/>
        </w:rPr>
        <w:t>1.</w:t>
      </w:r>
      <w:r>
        <w:rPr>
          <w:rStyle w:val="17"/>
          <w:rFonts w:hint="eastAsia" w:ascii="宋体" w:hAnsi="宋体" w:cs="宋体"/>
          <w:b w:val="0"/>
          <w:spacing w:val="-4"/>
          <w:sz w:val="32"/>
          <w:szCs w:val="32"/>
        </w:rPr>
        <w:t>数量指标：</w:t>
      </w:r>
      <w:r>
        <w:rPr>
          <w:rFonts w:hint="eastAsia" w:ascii="仿宋_GB2312" w:eastAsia="仿宋_GB2312"/>
          <w:sz w:val="32"/>
          <w:szCs w:val="32"/>
        </w:rPr>
        <w:t>城区道路照明设施及交通信号灯设施进行维修</w:t>
      </w:r>
    </w:p>
    <w:p>
      <w:pPr>
        <w:spacing w:line="540" w:lineRule="exact"/>
        <w:ind w:firstLine="564" w:firstLineChars="181"/>
        <w:rPr>
          <w:rStyle w:val="17"/>
          <w:rFonts w:ascii="??" w:hAnsi="??"/>
          <w:b w:val="0"/>
          <w:spacing w:val="-4"/>
          <w:sz w:val="32"/>
          <w:szCs w:val="32"/>
        </w:rPr>
      </w:pPr>
      <w:r>
        <w:rPr>
          <w:rStyle w:val="17"/>
          <w:rFonts w:ascii="??" w:hAnsi="??"/>
          <w:b w:val="0"/>
          <w:spacing w:val="-4"/>
          <w:sz w:val="32"/>
          <w:szCs w:val="32"/>
        </w:rPr>
        <w:t>2.</w:t>
      </w:r>
      <w:r>
        <w:rPr>
          <w:rStyle w:val="17"/>
          <w:rFonts w:hint="eastAsia" w:ascii="宋体" w:hAnsi="宋体" w:cs="宋体"/>
          <w:b w:val="0"/>
          <w:spacing w:val="-4"/>
          <w:sz w:val="32"/>
          <w:szCs w:val="32"/>
        </w:rPr>
        <w:t>质量指标：严格遵守《中华人民共和国合同法》验收程序，按期验收，</w:t>
      </w:r>
      <w:r>
        <w:rPr>
          <w:rStyle w:val="17"/>
          <w:rFonts w:ascii="??" w:hAnsi="??"/>
          <w:b w:val="0"/>
          <w:spacing w:val="-4"/>
          <w:sz w:val="32"/>
          <w:szCs w:val="32"/>
        </w:rPr>
        <w:t>2018</w:t>
      </w:r>
      <w:r>
        <w:rPr>
          <w:rStyle w:val="17"/>
          <w:rFonts w:hint="eastAsia" w:ascii="宋体" w:hAnsi="宋体" w:cs="宋体"/>
          <w:b w:val="0"/>
          <w:spacing w:val="-4"/>
          <w:sz w:val="32"/>
          <w:szCs w:val="32"/>
        </w:rPr>
        <w:t>年验收合格率达到</w:t>
      </w:r>
      <w:r>
        <w:rPr>
          <w:rStyle w:val="17"/>
          <w:rFonts w:ascii="??" w:hAnsi="??"/>
          <w:b w:val="0"/>
          <w:spacing w:val="-4"/>
          <w:sz w:val="32"/>
          <w:szCs w:val="32"/>
        </w:rPr>
        <w:t>100%</w:t>
      </w:r>
      <w:r>
        <w:rPr>
          <w:rStyle w:val="17"/>
          <w:rFonts w:hint="eastAsia" w:ascii="宋体" w:hAnsi="宋体" w:cs="宋体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564" w:firstLineChars="181"/>
        <w:rPr>
          <w:rStyle w:val="17"/>
          <w:rFonts w:ascii="??" w:hAnsi="??"/>
          <w:b w:val="0"/>
          <w:spacing w:val="-4"/>
          <w:sz w:val="32"/>
          <w:szCs w:val="32"/>
        </w:rPr>
      </w:pPr>
      <w:r>
        <w:rPr>
          <w:rStyle w:val="17"/>
          <w:rFonts w:ascii="??" w:hAnsi="??"/>
          <w:b w:val="0"/>
          <w:spacing w:val="-4"/>
          <w:sz w:val="32"/>
          <w:szCs w:val="32"/>
        </w:rPr>
        <w:t>3.</w:t>
      </w:r>
      <w:r>
        <w:rPr>
          <w:rStyle w:val="17"/>
          <w:rFonts w:hint="eastAsia" w:ascii="宋体" w:hAnsi="宋体" w:cs="宋体"/>
          <w:b w:val="0"/>
          <w:spacing w:val="-4"/>
          <w:sz w:val="32"/>
          <w:szCs w:val="32"/>
        </w:rPr>
        <w:t>社会及生态效益指标：通过采购维护，改善城区交通安全及行人通行安全。</w:t>
      </w:r>
    </w:p>
    <w:p>
      <w:pPr>
        <w:spacing w:line="540" w:lineRule="exact"/>
        <w:ind w:firstLine="564" w:firstLineChars="181"/>
        <w:rPr>
          <w:rStyle w:val="17"/>
          <w:rFonts w:ascii="??" w:hAnsi="??"/>
          <w:b w:val="0"/>
          <w:spacing w:val="-4"/>
          <w:sz w:val="32"/>
          <w:szCs w:val="32"/>
        </w:rPr>
      </w:pPr>
      <w:r>
        <w:rPr>
          <w:rStyle w:val="17"/>
          <w:rFonts w:ascii="??" w:hAnsi="??"/>
          <w:b w:val="0"/>
          <w:spacing w:val="-4"/>
          <w:sz w:val="32"/>
          <w:szCs w:val="32"/>
        </w:rPr>
        <w:t>4.</w:t>
      </w:r>
      <w:r>
        <w:rPr>
          <w:rStyle w:val="17"/>
          <w:rFonts w:hint="eastAsia" w:ascii="宋体" w:hAnsi="宋体" w:cs="宋体"/>
          <w:b w:val="0"/>
          <w:spacing w:val="-4"/>
          <w:sz w:val="32"/>
          <w:szCs w:val="32"/>
        </w:rPr>
        <w:t>可持续影响指标：维护完成后预期能够长期使用，由住建局负责管理、维护及运行工作。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该绩效目标已完成。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624" w:firstLineChars="200"/>
        <w:rPr>
          <w:rFonts w:ascii="??" w:hAnsi="??"/>
          <w:bCs/>
          <w:spacing w:val="-4"/>
          <w:sz w:val="32"/>
          <w:szCs w:val="32"/>
        </w:rPr>
      </w:pPr>
      <w:r>
        <w:rPr>
          <w:rFonts w:hint="eastAsia" w:ascii="宋体" w:hAnsi="宋体" w:cs="宋体"/>
          <w:bCs/>
          <w:spacing w:val="-4"/>
          <w:sz w:val="32"/>
          <w:szCs w:val="32"/>
        </w:rPr>
        <w:t>一、按合同约定，由供货单位进行城市道路维修耗材质料保证，确保城市道路照明设施及交通信号灯设施的正常运行。</w:t>
      </w:r>
    </w:p>
    <w:p>
      <w:pPr>
        <w:spacing w:line="540" w:lineRule="exact"/>
        <w:ind w:firstLine="624" w:firstLineChars="200"/>
        <w:rPr>
          <w:rFonts w:ascii="??" w:hAnsi="??"/>
          <w:spacing w:val="-4"/>
          <w:sz w:val="32"/>
          <w:szCs w:val="32"/>
        </w:rPr>
      </w:pPr>
      <w:r>
        <w:rPr>
          <w:rFonts w:hint="eastAsia" w:ascii="宋体" w:hAnsi="宋体" w:cs="宋体"/>
          <w:bCs/>
          <w:spacing w:val="-4"/>
          <w:sz w:val="32"/>
          <w:szCs w:val="32"/>
        </w:rPr>
        <w:t>二、按照合同约定，按比例支付该项材料款。</w:t>
      </w:r>
    </w:p>
    <w:p>
      <w:pPr>
        <w:spacing w:line="540" w:lineRule="exact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79" w:firstLineChars="181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对城区道路照明设施维修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确保耗材按要求供应；确保设施修复率；建立项目的支付明细，做到专款专用。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其他</w:t>
      </w:r>
    </w:p>
    <w:p>
      <w:pPr>
        <w:spacing w:line="540" w:lineRule="exact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ascii="??" w:hAnsi="??"/>
          <w:spacing w:val="-4"/>
          <w:sz w:val="32"/>
          <w:szCs w:val="32"/>
        </w:rPr>
        <w:t xml:space="preserve">      </w:t>
      </w:r>
      <w:r>
        <w:rPr>
          <w:rFonts w:hint="eastAsia" w:ascii="宋体" w:hAnsi="宋体" w:cs="宋体"/>
          <w:spacing w:val="-4"/>
          <w:sz w:val="32"/>
          <w:szCs w:val="32"/>
        </w:rPr>
        <w:t>其他情况无</w:t>
      </w: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ascii="黑体" w:hAnsi="黑体" w:eastAsia="黑体"/>
          <w:b w:val="0"/>
          <w:spacing w:val="-4"/>
          <w:sz w:val="32"/>
          <w:szCs w:val="32"/>
        </w:rPr>
        <w:t xml:space="preserve">  </w:t>
      </w: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??" w:hAnsi="??"/>
          <w:spacing w:val="-4"/>
          <w:sz w:val="32"/>
          <w:szCs w:val="32"/>
        </w:rPr>
      </w:pPr>
      <w:r>
        <w:rPr>
          <w:rFonts w:hint="eastAsia" w:ascii="宋体" w:hAnsi="宋体" w:cs="宋体"/>
          <w:spacing w:val="-4"/>
          <w:sz w:val="32"/>
          <w:szCs w:val="32"/>
        </w:rPr>
        <w:t>该项目的采购数据收集完整，资料来源真实可信，项目的供货单位通过询价采购的方式确定中标单位，项目检查、核实等情况与实际情况相符。</w:t>
      </w: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ascii="黑体" w:hAnsi="黑体" w:eastAsia="黑体"/>
          <w:b w:val="0"/>
          <w:spacing w:val="-4"/>
          <w:sz w:val="32"/>
          <w:szCs w:val="32"/>
        </w:rPr>
        <w:t xml:space="preserve">  </w:t>
      </w: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??" w:hAnsi="??"/>
          <w:b w:val="0"/>
          <w:spacing w:val="-4"/>
          <w:sz w:val="32"/>
          <w:szCs w:val="32"/>
        </w:rPr>
      </w:pPr>
      <w:r>
        <w:rPr>
          <w:rStyle w:val="17"/>
          <w:rFonts w:hint="eastAsia" w:ascii="宋体" w:hAnsi="宋体" w:cs="宋体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rPr>
          <w:rStyle w:val="17"/>
          <w:rFonts w:ascii="??" w:hAnsi="??"/>
          <w:b w:val="0"/>
          <w:spacing w:val="-4"/>
          <w:sz w:val="32"/>
          <w:szCs w:val="32"/>
        </w:rPr>
      </w:pPr>
    </w:p>
    <w:tbl>
      <w:tblPr>
        <w:tblStyle w:val="15"/>
        <w:tblW w:w="901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2233" w:firstLineChars="695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ind w:firstLine="2233" w:firstLineChars="695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ind w:firstLine="2233" w:firstLineChars="695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ind w:firstLine="2233" w:firstLineChars="695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2018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7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  <w:r>
              <w:rPr>
                <w:rFonts w:hAnsi="宋体" w:eastAsia="仿宋_GB2312" w:cs="宋体"/>
                <w:kern w:val="0"/>
                <w:sz w:val="24"/>
              </w:rPr>
              <w:t>2018</w:t>
            </w:r>
            <w:r>
              <w:rPr>
                <w:rFonts w:hint="eastAsia" w:hAnsi="宋体" w:eastAsia="仿宋_GB2312" w:cs="宋体"/>
                <w:kern w:val="0"/>
                <w:sz w:val="24"/>
              </w:rPr>
              <w:t>年城市基础设施维修项目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7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700" w:lineRule="exact"/>
              <w:jc w:val="left"/>
              <w:rPr>
                <w:rFonts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kern w:val="0"/>
                <w:sz w:val="28"/>
                <w:szCs w:val="28"/>
              </w:rPr>
              <w:t>玛纳斯县住房和城乡建设局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81"/>
                <w:tab w:val="right" w:pos="1884"/>
              </w:tabs>
              <w:jc w:val="center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63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hint="eastAsia" w:ascii="??" w:hAnsi="??" w:cs="仿宋_GB2312"/>
                <w:bCs/>
                <w:kern w:val="0"/>
                <w:sz w:val="28"/>
                <w:szCs w:val="28"/>
              </w:rPr>
              <w:t>全部耗材已经投入使用</w:t>
            </w:r>
          </w:p>
        </w:tc>
        <w:tc>
          <w:tcPr>
            <w:tcW w:w="3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hint="eastAsia" w:ascii="??" w:hAnsi="??" w:cs="仿宋_GB2312"/>
                <w:bCs/>
                <w:kern w:val="0"/>
                <w:sz w:val="28"/>
                <w:szCs w:val="28"/>
              </w:rPr>
              <w:t>全部耗材已经投入使用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维修城区道路照明设施及信号灯设施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维修城区道路照明设施及信号灯设施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维修城区道路照明设施及信号灯设施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验收合格率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45"/>
              </w:tabs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维修城区道路照明设施及信号灯设施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设计功能实现率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提升夜间出行及交通安全情况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有效改善夜间出行及交通安全状况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有效改善夜间出行交通安全状况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益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维护后使用时间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维护后长期使用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维护后长期使用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居民满意度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</w:tr>
    </w:tbl>
    <w:p>
      <w:pPr>
        <w:spacing w:line="540" w:lineRule="exact"/>
        <w:ind w:firstLine="567"/>
        <w:rPr>
          <w:rStyle w:val="17"/>
          <w:rFonts w:ascii="??" w:hAnsi="??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1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 w:tentative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801"/>
    <w:rsid w:val="000012F3"/>
    <w:rsid w:val="000616F6"/>
    <w:rsid w:val="0012460D"/>
    <w:rsid w:val="00127811"/>
    <w:rsid w:val="00280B42"/>
    <w:rsid w:val="00310B43"/>
    <w:rsid w:val="00325A23"/>
    <w:rsid w:val="003450EC"/>
    <w:rsid w:val="00345FEC"/>
    <w:rsid w:val="003854CC"/>
    <w:rsid w:val="00386942"/>
    <w:rsid w:val="00396AFC"/>
    <w:rsid w:val="003C129E"/>
    <w:rsid w:val="003C24FC"/>
    <w:rsid w:val="003D303B"/>
    <w:rsid w:val="00415631"/>
    <w:rsid w:val="004E6079"/>
    <w:rsid w:val="0052428F"/>
    <w:rsid w:val="005456D2"/>
    <w:rsid w:val="00550D43"/>
    <w:rsid w:val="00576270"/>
    <w:rsid w:val="006736F9"/>
    <w:rsid w:val="006C42B3"/>
    <w:rsid w:val="007071A9"/>
    <w:rsid w:val="007076D3"/>
    <w:rsid w:val="00757E72"/>
    <w:rsid w:val="00764589"/>
    <w:rsid w:val="00764BD9"/>
    <w:rsid w:val="007B2859"/>
    <w:rsid w:val="007C3500"/>
    <w:rsid w:val="00831D92"/>
    <w:rsid w:val="00916E44"/>
    <w:rsid w:val="00951367"/>
    <w:rsid w:val="00955664"/>
    <w:rsid w:val="009616F8"/>
    <w:rsid w:val="009637C0"/>
    <w:rsid w:val="00970801"/>
    <w:rsid w:val="00997DCD"/>
    <w:rsid w:val="009B0185"/>
    <w:rsid w:val="009F62FE"/>
    <w:rsid w:val="00A1183A"/>
    <w:rsid w:val="00A1209A"/>
    <w:rsid w:val="00A3671E"/>
    <w:rsid w:val="00A647CC"/>
    <w:rsid w:val="00AB4090"/>
    <w:rsid w:val="00B823D5"/>
    <w:rsid w:val="00C12AD0"/>
    <w:rsid w:val="00C8511D"/>
    <w:rsid w:val="00C91B71"/>
    <w:rsid w:val="00CA0924"/>
    <w:rsid w:val="00CE6CD2"/>
    <w:rsid w:val="00D4294C"/>
    <w:rsid w:val="00DD6BDF"/>
    <w:rsid w:val="00E94710"/>
    <w:rsid w:val="00F437B6"/>
    <w:rsid w:val="00F55425"/>
    <w:rsid w:val="00F831BE"/>
    <w:rsid w:val="00F83B53"/>
    <w:rsid w:val="0E27152D"/>
    <w:rsid w:val="144359AC"/>
    <w:rsid w:val="148A6E68"/>
    <w:rsid w:val="1B654FC1"/>
    <w:rsid w:val="2B762D02"/>
    <w:rsid w:val="2FD04114"/>
    <w:rsid w:val="4A222EC5"/>
    <w:rsid w:val="6F7438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99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99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5"/>
    <w:qFormat/>
    <w:uiPriority w:val="99"/>
    <w:pPr>
      <w:widowControl/>
      <w:spacing w:before="240" w:after="60"/>
      <w:jc w:val="left"/>
      <w:outlineLvl w:val="6"/>
    </w:pPr>
    <w:rPr>
      <w:sz w:val="24"/>
    </w:rPr>
  </w:style>
  <w:style w:type="paragraph" w:styleId="9">
    <w:name w:val="heading 8"/>
    <w:basedOn w:val="1"/>
    <w:next w:val="1"/>
    <w:link w:val="26"/>
    <w:qFormat/>
    <w:uiPriority w:val="99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10">
    <w:name w:val="heading 9"/>
    <w:basedOn w:val="1"/>
    <w:next w:val="1"/>
    <w:link w:val="27"/>
    <w:qFormat/>
    <w:uiPriority w:val="99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16">
    <w:name w:val="Default Paragraph Font"/>
    <w:semiHidden/>
    <w:qFormat/>
    <w:uiPriority w:val="99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2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30"/>
    <w:qFormat/>
    <w:uiPriority w:val="99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14">
    <w:name w:val="Title"/>
    <w:basedOn w:val="1"/>
    <w:next w:val="1"/>
    <w:link w:val="31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99"/>
    <w:rPr>
      <w:rFonts w:cs="Times New Roman"/>
      <w:b/>
      <w:bCs/>
    </w:rPr>
  </w:style>
  <w:style w:type="character" w:styleId="18">
    <w:name w:val="Emphasis"/>
    <w:basedOn w:val="16"/>
    <w:qFormat/>
    <w:uiPriority w:val="99"/>
    <w:rPr>
      <w:rFonts w:ascii="Calibri" w:hAnsi="Calibri" w:cs="Times New Roman"/>
      <w:b/>
      <w:i/>
      <w:iCs/>
    </w:rPr>
  </w:style>
  <w:style w:type="character" w:customStyle="1" w:styleId="19">
    <w:name w:val="Heading 1 Char"/>
    <w:basedOn w:val="16"/>
    <w:link w:val="2"/>
    <w:semiHidden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0">
    <w:name w:val="Heading 2 Char"/>
    <w:basedOn w:val="16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1">
    <w:name w:val="Heading 3 Char"/>
    <w:basedOn w:val="16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2">
    <w:name w:val="Heading 4 Char"/>
    <w:basedOn w:val="16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3">
    <w:name w:val="Heading 5 Char"/>
    <w:basedOn w:val="16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4">
    <w:name w:val="Heading 6 Char"/>
    <w:basedOn w:val="16"/>
    <w:link w:val="7"/>
    <w:semiHidden/>
    <w:qFormat/>
    <w:locked/>
    <w:uiPriority w:val="99"/>
    <w:rPr>
      <w:rFonts w:cs="Times New Roman"/>
      <w:b/>
      <w:bCs/>
    </w:rPr>
  </w:style>
  <w:style w:type="character" w:customStyle="1" w:styleId="25">
    <w:name w:val="Heading 7 Char"/>
    <w:basedOn w:val="16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6">
    <w:name w:val="Heading 8 Char"/>
    <w:basedOn w:val="16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7">
    <w:name w:val="Heading 9 Char"/>
    <w:basedOn w:val="16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8">
    <w:name w:val="Footer Char"/>
    <w:basedOn w:val="16"/>
    <w:link w:val="11"/>
    <w:semiHidden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29">
    <w:name w:val="Header Char"/>
    <w:basedOn w:val="16"/>
    <w:link w:val="12"/>
    <w:semiHidden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0">
    <w:name w:val="Subtitle Char"/>
    <w:basedOn w:val="16"/>
    <w:link w:val="13"/>
    <w:semiHidden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1">
    <w:name w:val="Title Char"/>
    <w:basedOn w:val="16"/>
    <w:link w:val="14"/>
    <w:semiHidden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32">
    <w:name w:val="Block Text1"/>
    <w:basedOn w:val="1"/>
    <w:next w:val="1"/>
    <w:link w:val="39"/>
    <w:qFormat/>
    <w:uiPriority w:val="99"/>
    <w:pPr>
      <w:widowControl/>
      <w:jc w:val="left"/>
    </w:pPr>
    <w:rPr>
      <w:i/>
      <w:sz w:val="24"/>
    </w:rPr>
  </w:style>
  <w:style w:type="paragraph" w:customStyle="1" w:styleId="33">
    <w:name w:val="批注框文本 Char Char"/>
    <w:basedOn w:val="1"/>
    <w:link w:val="38"/>
    <w:qFormat/>
    <w:uiPriority w:val="99"/>
    <w:rPr>
      <w:sz w:val="18"/>
      <w:szCs w:val="18"/>
    </w:rPr>
  </w:style>
  <w:style w:type="paragraph" w:customStyle="1" w:styleId="34">
    <w:name w:val="No Spacing1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5">
    <w:name w:val="List Paragraph1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6">
    <w:name w:val="Intense Quote1"/>
    <w:basedOn w:val="1"/>
    <w:next w:val="1"/>
    <w:link w:val="40"/>
    <w:qFormat/>
    <w:uiPriority w:val="99"/>
    <w:pPr>
      <w:widowControl/>
      <w:ind w:left="720" w:right="720"/>
      <w:jc w:val="left"/>
    </w:pPr>
    <w:rPr>
      <w:b/>
      <w:i/>
      <w:sz w:val="24"/>
    </w:rPr>
  </w:style>
  <w:style w:type="paragraph" w:customStyle="1" w:styleId="37">
    <w:name w:val="TOC Heading1"/>
    <w:basedOn w:val="2"/>
    <w:next w:val="1"/>
    <w:qFormat/>
    <w:uiPriority w:val="99"/>
    <w:pPr>
      <w:outlineLvl w:val="9"/>
    </w:pPr>
    <w:rPr>
      <w:lang w:eastAsia="en-US"/>
    </w:rPr>
  </w:style>
  <w:style w:type="character" w:customStyle="1" w:styleId="38">
    <w:name w:val="Balloon Text Char"/>
    <w:basedOn w:val="16"/>
    <w:link w:val="33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9">
    <w:name w:val="Quote Char"/>
    <w:basedOn w:val="16"/>
    <w:link w:val="32"/>
    <w:semiHidden/>
    <w:qFormat/>
    <w:locked/>
    <w:uiPriority w:val="99"/>
    <w:rPr>
      <w:rFonts w:cs="Times New Roman"/>
      <w:i/>
      <w:sz w:val="24"/>
      <w:szCs w:val="24"/>
    </w:rPr>
  </w:style>
  <w:style w:type="character" w:customStyle="1" w:styleId="40">
    <w:name w:val="Intense Quote Char Char"/>
    <w:basedOn w:val="16"/>
    <w:link w:val="36"/>
    <w:semiHidden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Subtle Emphasis1"/>
    <w:qFormat/>
    <w:uiPriority w:val="99"/>
    <w:rPr>
      <w:i/>
      <w:color w:val="595959"/>
    </w:rPr>
  </w:style>
  <w:style w:type="character" w:customStyle="1" w:styleId="42">
    <w:name w:val="Intense Emphasis1"/>
    <w:basedOn w:val="16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Subtle Reference1"/>
    <w:basedOn w:val="16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Intense Reference1"/>
    <w:basedOn w:val="16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Book Title1"/>
    <w:basedOn w:val="16"/>
    <w:qFormat/>
    <w:uiPriority w:val="99"/>
    <w:rPr>
      <w:rFonts w:ascii="Cambria" w:hAnsi="Cambria" w:eastAsia="宋体" w:cs="Times New Roman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309</Words>
  <Characters>1764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2018-08-15T18:06:00Z</dcterms:created>
  <dc:creator>赵 恺（预算处）</dc:creator>
  <cp:lastModifiedBy>Administrator</cp:lastModifiedBy>
  <cp:lastPrinted>2019-01-14T04:20:00Z</cp:lastPrinted>
  <dcterms:modified xsi:type="dcterms:W3CDTF">2024-03-28T10:43:37Z</dcterms:modified>
  <dc:title>微软用户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