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AF2CC5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D27BFA" w:rsidRDefault="00D27BF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27BFA" w:rsidRDefault="00AF2CC5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D27BFA" w:rsidRDefault="00D27BF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27BFA" w:rsidRDefault="00D27BF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27BFA" w:rsidRDefault="00D27BF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27BFA" w:rsidRDefault="00D27BF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27BFA" w:rsidRDefault="00D27BF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D27BFA" w:rsidRDefault="00AF2CC5">
      <w:pPr>
        <w:spacing w:line="700" w:lineRule="exact"/>
        <w:ind w:left="2520" w:hangingChars="700" w:hanging="25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项目名称：玛纳斯县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年棚户区（城中村）改造项目</w:t>
      </w:r>
    </w:p>
    <w:p w:rsidR="00D27BFA" w:rsidRDefault="00AF2C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实施单位（公章）：玛纳斯县住房和城乡建设局</w:t>
      </w:r>
    </w:p>
    <w:p w:rsidR="00D27BFA" w:rsidRDefault="00AF2CC5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主管部门（公章）：玛纳斯县</w:t>
      </w:r>
      <w:r>
        <w:rPr>
          <w:rFonts w:eastAsia="仿宋_GB2312" w:hAnsi="宋体" w:cs="宋体" w:hint="eastAsia"/>
          <w:kern w:val="0"/>
          <w:sz w:val="36"/>
          <w:szCs w:val="36"/>
        </w:rPr>
        <w:t>国土局</w:t>
      </w:r>
    </w:p>
    <w:p w:rsidR="00D27BFA" w:rsidRDefault="00AF2CC5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王辉</w:t>
      </w:r>
    </w:p>
    <w:p w:rsidR="00D27BFA" w:rsidRDefault="00AF2CC5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13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D27BFA" w:rsidRDefault="00D27BF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27BFA" w:rsidRDefault="00D27BFA">
      <w:pPr>
        <w:spacing w:line="540" w:lineRule="exact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</w:p>
    <w:p w:rsidR="00D27BFA" w:rsidRDefault="00D27BF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</w:p>
    <w:p w:rsidR="00D27BFA" w:rsidRDefault="00D27BF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</w:p>
    <w:p w:rsidR="00D27BFA" w:rsidRDefault="00D27BF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D27BFA" w:rsidRDefault="00AF2CC5">
      <w:pPr>
        <w:spacing w:line="500" w:lineRule="exact"/>
        <w:ind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．主要职能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指导全县建筑业活动，培育规范建筑市场，指导监督建筑市场，管理工程招投标，工程质量和施工安全。负责全县住宅和房地产业的行业管理。负责组织实施各类房屋建筑的抗震加固，负责全县的基础设施建设，负责全县保障性住房建设及管理。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</w:rPr>
        <w:t>．机构情况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住建局下设</w:t>
      </w:r>
      <w:r>
        <w:rPr>
          <w:rFonts w:ascii="仿宋" w:eastAsia="仿宋" w:hAnsi="仿宋" w:cs="仿宋" w:hint="eastAsia"/>
          <w:kern w:val="0"/>
          <w:sz w:val="32"/>
          <w:szCs w:val="32"/>
        </w:rPr>
        <w:t>9</w:t>
      </w:r>
      <w:r>
        <w:rPr>
          <w:rFonts w:ascii="仿宋" w:eastAsia="仿宋" w:hAnsi="仿宋" w:cs="仿宋" w:hint="eastAsia"/>
          <w:kern w:val="0"/>
          <w:sz w:val="32"/>
          <w:szCs w:val="32"/>
        </w:rPr>
        <w:t>个处室，分别是：玛纳斯县城建监察大队、玛纳斯县建设工程安监站、玛纳斯县建设工程质量监督站、玛纳斯县建筑市场管理办公室、玛纳斯县房地产管理所、玛纳斯县建设工程造价管理站、玛纳斯县燃气供热服务站、玛纳斯县城建档案室、玛纳斯县市政建设服务中心。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b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设定情</w:t>
      </w: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况</w:t>
      </w:r>
    </w:p>
    <w:p w:rsidR="00D27BFA" w:rsidRDefault="00AF2CC5">
      <w:pPr>
        <w:spacing w:line="700" w:lineRule="exact"/>
        <w:ind w:leftChars="304" w:left="2238" w:hangingChars="500" w:hanging="1600"/>
        <w:jc w:val="left"/>
        <w:rPr>
          <w:rFonts w:ascii="仿宋" w:eastAsia="仿宋" w:hAnsi="仿宋" w:cs="仿宋_GB2312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预期目标：</w:t>
      </w:r>
      <w:r>
        <w:rPr>
          <w:rFonts w:ascii="仿宋" w:eastAsia="仿宋" w:hAnsi="仿宋" w:cs="仿宋_GB2312" w:hint="eastAsia"/>
          <w:sz w:val="32"/>
          <w:szCs w:val="32"/>
        </w:rPr>
        <w:t>完成棚户区改造任务</w:t>
      </w:r>
      <w:r>
        <w:rPr>
          <w:rFonts w:ascii="仿宋" w:eastAsia="仿宋" w:hAnsi="仿宋" w:cs="仿宋_GB2312" w:hint="eastAsia"/>
          <w:sz w:val="32"/>
          <w:szCs w:val="32"/>
        </w:rPr>
        <w:t>3300</w:t>
      </w:r>
      <w:r>
        <w:rPr>
          <w:rFonts w:ascii="仿宋" w:eastAsia="仿宋" w:hAnsi="仿宋" w:cs="仿宋_GB2312" w:hint="eastAsia"/>
          <w:sz w:val="32"/>
          <w:szCs w:val="32"/>
        </w:rPr>
        <w:t>户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，改善群众生活</w:t>
      </w:r>
    </w:p>
    <w:p w:rsidR="00D27BFA" w:rsidRDefault="00AF2CC5">
      <w:pPr>
        <w:spacing w:line="7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环境。</w:t>
      </w:r>
    </w:p>
    <w:p w:rsidR="00D27BFA" w:rsidRDefault="00AF2CC5">
      <w:pPr>
        <w:spacing w:line="700" w:lineRule="exact"/>
        <w:ind w:leftChars="304" w:left="2238" w:hangingChars="500" w:hanging="1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项目性质及用途：玛纳斯县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年棚户区（城中村）改</w:t>
      </w:r>
    </w:p>
    <w:p w:rsidR="00D27BFA" w:rsidRDefault="00AF2CC5">
      <w:pPr>
        <w:spacing w:line="7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造项目，主要用于城市棚户区改造。</w:t>
      </w:r>
    </w:p>
    <w:p w:rsidR="00D27BFA" w:rsidRDefault="00AF2CC5">
      <w:pPr>
        <w:spacing w:line="700" w:lineRule="exact"/>
        <w:ind w:leftChars="304" w:left="2238" w:hangingChars="500" w:hanging="1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项目主要内容及涉及范围：涉及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个社区、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个城中村共</w:t>
      </w:r>
    </w:p>
    <w:p w:rsidR="00D27BFA" w:rsidRDefault="00AF2CC5">
      <w:pPr>
        <w:spacing w:line="7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个片区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，征收土地面积</w:t>
      </w:r>
      <w:r>
        <w:rPr>
          <w:rFonts w:ascii="仿宋" w:eastAsia="仿宋" w:hAnsi="仿宋" w:cs="仿宋_GB2312"/>
          <w:bCs/>
          <w:kern w:val="0"/>
          <w:sz w:val="32"/>
          <w:szCs w:val="32"/>
        </w:rPr>
        <w:t>875010.8</w:t>
      </w:r>
      <w:r>
        <w:rPr>
          <w:rFonts w:ascii="仿宋" w:eastAsia="仿宋" w:hAnsi="仿宋" w:cs="仿宋_GB2312"/>
          <w:bCs/>
          <w:kern w:val="0"/>
          <w:sz w:val="32"/>
          <w:szCs w:val="32"/>
        </w:rPr>
        <w:t>㎡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（</w:t>
      </w:r>
      <w:r>
        <w:rPr>
          <w:rFonts w:ascii="仿宋" w:eastAsia="仿宋" w:hAnsi="仿宋" w:cs="仿宋_GB2312"/>
          <w:bCs/>
          <w:kern w:val="0"/>
          <w:sz w:val="32"/>
          <w:szCs w:val="32"/>
        </w:rPr>
        <w:t>1312.5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亩</w:t>
      </w:r>
      <w:r>
        <w:rPr>
          <w:rFonts w:ascii="仿宋" w:eastAsia="仿宋" w:hAnsi="仿宋" w:cs="仿宋_GB2312"/>
          <w:bCs/>
          <w:kern w:val="0"/>
          <w:sz w:val="32"/>
          <w:szCs w:val="32"/>
        </w:rPr>
        <w:t>)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玛纳斯县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年棚户区（城中村）改造项目投入</w:t>
      </w:r>
      <w:r>
        <w:rPr>
          <w:rFonts w:ascii="仿宋" w:eastAsia="仿宋" w:hAnsi="仿宋" w:cs="仿宋" w:hint="eastAsia"/>
          <w:sz w:val="32"/>
          <w:szCs w:val="32"/>
        </w:rPr>
        <w:t>5105.4204</w:t>
      </w:r>
      <w:r>
        <w:rPr>
          <w:rFonts w:ascii="仿宋" w:eastAsia="仿宋" w:hAnsi="仿宋" w:cs="仿宋" w:hint="eastAsia"/>
          <w:sz w:val="32"/>
          <w:szCs w:val="32"/>
        </w:rPr>
        <w:t>万</w:t>
      </w:r>
      <w:r>
        <w:rPr>
          <w:rFonts w:ascii="仿宋" w:eastAsia="仿宋" w:hAnsi="仿宋" w:cs="仿宋" w:hint="eastAsia"/>
          <w:sz w:val="32"/>
          <w:szCs w:val="32"/>
        </w:rPr>
        <w:t>元，资金来源</w:t>
      </w:r>
      <w:r>
        <w:rPr>
          <w:rFonts w:ascii="仿宋" w:eastAsia="仿宋" w:hAnsi="仿宋" w:cs="仿宋" w:hint="eastAsia"/>
          <w:sz w:val="32"/>
          <w:szCs w:val="32"/>
        </w:rPr>
        <w:t>为上级专项补助资金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D27BFA" w:rsidRDefault="00AF2CC5">
      <w:pPr>
        <w:spacing w:line="500" w:lineRule="exact"/>
        <w:ind w:leftChars="50" w:left="105" w:rightChars="50" w:right="105" w:firstLineChars="200" w:firstLine="640"/>
        <w:rPr>
          <w:rStyle w:val="ab"/>
          <w:rFonts w:ascii="仿宋" w:eastAsia="仿宋" w:hAnsi="仿宋" w:cs="仿宋_GB2312"/>
          <w:b w:val="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该项目现已完工，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5105.4204</w:t>
      </w:r>
      <w:r>
        <w:rPr>
          <w:rFonts w:ascii="仿宋" w:eastAsia="仿宋" w:hAnsi="仿宋" w:cs="仿宋" w:hint="eastAsia"/>
          <w:sz w:val="32"/>
          <w:szCs w:val="32"/>
        </w:rPr>
        <w:t>万</w:t>
      </w:r>
      <w:r>
        <w:rPr>
          <w:rFonts w:ascii="仿宋" w:eastAsia="仿宋" w:hAnsi="仿宋" w:cs="仿宋" w:hint="eastAsia"/>
          <w:sz w:val="32"/>
          <w:szCs w:val="32"/>
        </w:rPr>
        <w:t>元补助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资金已全部支付完毕。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D27BFA" w:rsidRDefault="00AF2CC5">
      <w:pPr>
        <w:spacing w:line="500" w:lineRule="exact"/>
        <w:ind w:leftChars="50" w:left="105" w:rightChars="50" w:right="105" w:firstLineChars="200" w:firstLine="624"/>
        <w:rPr>
          <w:rStyle w:val="ab"/>
          <w:rFonts w:ascii="仿宋" w:eastAsia="仿宋" w:hAnsi="仿宋" w:cs="仿宋_GB2312"/>
          <w:b w:val="0"/>
          <w:kern w:val="0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严格按照拆迁协议给拆迁户支付征收补偿款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D27BFA" w:rsidRDefault="00AF2CC5">
      <w:pPr>
        <w:spacing w:line="500" w:lineRule="exact"/>
        <w:ind w:leftChars="50" w:left="105" w:rightChars="50" w:right="105" w:firstLineChars="200" w:firstLine="640"/>
        <w:rPr>
          <w:rFonts w:ascii="仿宋" w:eastAsia="仿宋" w:hAnsi="仿宋" w:cs="仿宋_GB2312"/>
          <w:bCs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1.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项目招投标情况：</w:t>
      </w:r>
      <w:r>
        <w:rPr>
          <w:rFonts w:ascii="仿宋" w:eastAsia="仿宋" w:hAnsi="仿宋"/>
          <w:color w:val="000000"/>
          <w:sz w:val="32"/>
          <w:szCs w:val="32"/>
        </w:rPr>
        <w:t>根据《中华人民共和国</w:t>
      </w:r>
      <w:r>
        <w:rPr>
          <w:rFonts w:ascii="仿宋" w:eastAsia="仿宋" w:hAnsi="仿宋" w:hint="eastAsia"/>
          <w:color w:val="000000"/>
          <w:sz w:val="32"/>
          <w:szCs w:val="32"/>
        </w:rPr>
        <w:t>预算</w:t>
      </w:r>
      <w:r>
        <w:rPr>
          <w:rFonts w:ascii="仿宋" w:eastAsia="仿宋" w:hAnsi="仿宋"/>
          <w:color w:val="000000"/>
          <w:sz w:val="32"/>
          <w:szCs w:val="32"/>
        </w:rPr>
        <w:t>法》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《中华人民共和国政府采购法》、</w:t>
      </w:r>
      <w:r>
        <w:rPr>
          <w:rFonts w:ascii="仿宋" w:eastAsia="仿宋" w:hAnsi="仿宋" w:hint="eastAsia"/>
          <w:color w:val="000000"/>
          <w:sz w:val="32"/>
          <w:szCs w:val="32"/>
        </w:rPr>
        <w:t>《政府采购法实施条例》</w:t>
      </w:r>
      <w:r>
        <w:rPr>
          <w:rFonts w:ascii="仿宋" w:eastAsia="仿宋" w:hAnsi="仿宋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《政府购买服务管理办法（暂行）》、《财政部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住房和城乡建设部关于进一步做好棚户区改造工作的通知》（财综〔</w:t>
      </w:r>
      <w:r>
        <w:rPr>
          <w:rFonts w:ascii="仿宋" w:eastAsia="仿宋" w:hAnsi="仿宋" w:hint="eastAsia"/>
          <w:color w:val="000000"/>
          <w:sz w:val="32"/>
          <w:szCs w:val="32"/>
        </w:rPr>
        <w:t>2016</w:t>
      </w:r>
      <w:r>
        <w:rPr>
          <w:rFonts w:ascii="仿宋" w:eastAsia="仿宋" w:hAnsi="仿宋" w:hint="eastAsia"/>
          <w:color w:val="000000"/>
          <w:sz w:val="32"/>
          <w:szCs w:val="32"/>
        </w:rPr>
        <w:t>〕</w:t>
      </w:r>
      <w:r>
        <w:rPr>
          <w:rFonts w:ascii="仿宋" w:eastAsia="仿宋" w:hAnsi="仿宋" w:hint="eastAsia"/>
          <w:color w:val="000000"/>
          <w:sz w:val="32"/>
          <w:szCs w:val="32"/>
        </w:rPr>
        <w:t>11</w:t>
      </w:r>
      <w:r>
        <w:rPr>
          <w:rFonts w:ascii="仿宋" w:eastAsia="仿宋" w:hAnsi="仿宋" w:hint="eastAsia"/>
          <w:color w:val="000000"/>
          <w:sz w:val="32"/>
          <w:szCs w:val="32"/>
        </w:rPr>
        <w:t>号）、《关于做好政府购买城镇棚户区改造服务工作的指导意见》（新建保〔</w:t>
      </w:r>
      <w:r>
        <w:rPr>
          <w:rFonts w:ascii="仿宋" w:eastAsia="仿宋" w:hAnsi="仿宋" w:hint="eastAsia"/>
          <w:color w:val="000000"/>
          <w:sz w:val="32"/>
          <w:szCs w:val="32"/>
        </w:rPr>
        <w:t>2016</w:t>
      </w:r>
      <w:r>
        <w:rPr>
          <w:rFonts w:ascii="仿宋" w:eastAsia="仿宋" w:hAnsi="仿宋" w:hint="eastAsia"/>
          <w:color w:val="000000"/>
          <w:sz w:val="32"/>
          <w:szCs w:val="32"/>
        </w:rPr>
        <w:t>〕</w:t>
      </w:r>
      <w:r>
        <w:rPr>
          <w:rFonts w:ascii="仿宋" w:eastAsia="仿宋" w:hAnsi="仿宋" w:hint="eastAsia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号）、《自治州关于政府向社会力量购买服务的实施意见》（昌州政办发〔</w:t>
      </w:r>
      <w:r>
        <w:rPr>
          <w:rFonts w:ascii="仿宋" w:eastAsia="仿宋" w:hAnsi="仿宋" w:hint="eastAsia"/>
          <w:color w:val="000000"/>
          <w:sz w:val="32"/>
          <w:szCs w:val="32"/>
        </w:rPr>
        <w:t>2015</w:t>
      </w:r>
      <w:r>
        <w:rPr>
          <w:rFonts w:ascii="仿宋" w:eastAsia="仿宋" w:hAnsi="仿宋" w:hint="eastAsia"/>
          <w:color w:val="000000"/>
          <w:sz w:val="32"/>
          <w:szCs w:val="32"/>
        </w:rPr>
        <w:t>〕</w:t>
      </w:r>
      <w:r>
        <w:rPr>
          <w:rFonts w:ascii="仿宋" w:eastAsia="仿宋" w:hAnsi="仿宋" w:hint="eastAsia"/>
          <w:color w:val="000000"/>
          <w:sz w:val="32"/>
          <w:szCs w:val="32"/>
        </w:rPr>
        <w:t>73</w:t>
      </w:r>
      <w:r>
        <w:rPr>
          <w:rFonts w:ascii="仿宋" w:eastAsia="仿宋" w:hAnsi="仿宋" w:hint="eastAsia"/>
          <w:color w:val="000000"/>
          <w:sz w:val="32"/>
          <w:szCs w:val="32"/>
        </w:rPr>
        <w:t>号）</w:t>
      </w:r>
      <w:r>
        <w:rPr>
          <w:rFonts w:ascii="仿宋" w:eastAsia="仿宋" w:hAnsi="仿宋"/>
          <w:color w:val="000000"/>
          <w:sz w:val="32"/>
          <w:szCs w:val="32"/>
        </w:rPr>
        <w:t>等法律法规</w:t>
      </w:r>
      <w:r>
        <w:rPr>
          <w:rFonts w:ascii="仿宋" w:eastAsia="仿宋" w:hAnsi="仿宋" w:hint="eastAsia"/>
          <w:color w:val="000000"/>
          <w:sz w:val="32"/>
          <w:szCs w:val="32"/>
        </w:rPr>
        <w:t>及文件规定</w:t>
      </w:r>
      <w:r>
        <w:rPr>
          <w:rFonts w:ascii="仿宋" w:eastAsia="仿宋" w:hAnsi="仿宋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通过</w:t>
      </w:r>
      <w:r>
        <w:rPr>
          <w:rFonts w:ascii="仿宋" w:eastAsia="仿宋" w:hAnsi="仿宋"/>
          <w:color w:val="000000"/>
          <w:sz w:val="32"/>
          <w:szCs w:val="32"/>
        </w:rPr>
        <w:t>政府购买服务方式</w:t>
      </w:r>
      <w:r>
        <w:rPr>
          <w:rFonts w:ascii="仿宋" w:eastAsia="仿宋" w:hAnsi="仿宋" w:hint="eastAsia"/>
          <w:color w:val="000000"/>
          <w:sz w:val="32"/>
          <w:szCs w:val="32"/>
        </w:rPr>
        <w:t>推进有关项目。</w:t>
      </w:r>
    </w:p>
    <w:p w:rsidR="00D27BFA" w:rsidRDefault="00AF2CC5">
      <w:pPr>
        <w:spacing w:line="500" w:lineRule="exact"/>
        <w:ind w:leftChars="50" w:left="105" w:rightChars="50" w:right="105" w:firstLineChars="200" w:firstLine="640"/>
        <w:rPr>
          <w:rFonts w:ascii="仿宋" w:eastAsia="仿宋" w:hAnsi="仿宋" w:cs="仿宋_GB2312"/>
          <w:bCs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2.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项目验收情况：项目已完工并验收。</w:t>
      </w:r>
    </w:p>
    <w:p w:rsidR="00D27BFA" w:rsidRDefault="00AF2CC5">
      <w:pPr>
        <w:spacing w:line="500" w:lineRule="exact"/>
        <w:ind w:firstLineChars="181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D27BFA" w:rsidRDefault="00AF2CC5">
      <w:pPr>
        <w:spacing w:line="500" w:lineRule="exact"/>
        <w:ind w:firstLineChars="200" w:firstLine="624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住建局及拆迁办随时监督工程的进展情况。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b"/>
          <w:rFonts w:ascii="黑体" w:eastAsia="黑体" w:hAnsi="黑体" w:hint="eastAsia"/>
        </w:rPr>
        <w:t xml:space="preserve"> </w:t>
      </w:r>
    </w:p>
    <w:p w:rsidR="00D27BFA" w:rsidRDefault="00AF2CC5">
      <w:pPr>
        <w:spacing w:line="50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D27BFA" w:rsidRDefault="00AF2CC5">
      <w:pPr>
        <w:spacing w:line="500" w:lineRule="exact"/>
        <w:ind w:firstLineChars="181" w:firstLine="565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1.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数量指标：完成</w:t>
      </w:r>
      <w:r>
        <w:rPr>
          <w:rFonts w:ascii="仿宋" w:eastAsia="仿宋" w:hAnsi="仿宋" w:cs="仿宋_GB2312" w:hint="eastAsia"/>
          <w:sz w:val="32"/>
          <w:szCs w:val="32"/>
        </w:rPr>
        <w:t>棚户区改造任务</w:t>
      </w:r>
      <w:r>
        <w:rPr>
          <w:rFonts w:ascii="仿宋" w:eastAsia="仿宋" w:hAnsi="仿宋" w:cs="仿宋_GB2312" w:hint="eastAsia"/>
          <w:sz w:val="32"/>
          <w:szCs w:val="32"/>
        </w:rPr>
        <w:t>3300</w:t>
      </w:r>
      <w:r>
        <w:rPr>
          <w:rFonts w:ascii="仿宋" w:eastAsia="仿宋" w:hAnsi="仿宋" w:cs="仿宋_GB2312" w:hint="eastAsia"/>
          <w:sz w:val="32"/>
          <w:szCs w:val="32"/>
        </w:rPr>
        <w:t>户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。</w:t>
      </w:r>
    </w:p>
    <w:p w:rsidR="00D27BFA" w:rsidRDefault="00AF2CC5">
      <w:pPr>
        <w:spacing w:line="500" w:lineRule="exact"/>
        <w:ind w:firstLineChars="181" w:firstLine="565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2.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质量指标：所有项目严格遵守工程建设项目验收程序按期验收，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年验收合格率达到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95%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D27BFA" w:rsidRDefault="00AF2CC5">
      <w:pPr>
        <w:spacing w:line="500" w:lineRule="exact"/>
        <w:ind w:firstLineChars="181" w:firstLine="565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3.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社会及生态效益指标：通过该项目建设，改善居民生活环境问题。</w:t>
      </w:r>
    </w:p>
    <w:p w:rsidR="00D27BFA" w:rsidRDefault="00AF2CC5">
      <w:pPr>
        <w:spacing w:line="500" w:lineRule="exact"/>
        <w:ind w:firstLineChars="181" w:firstLine="565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4.</w:t>
      </w: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可持续影响指标：该项目建成后预期能够长期使用，由住建局负责后期的管理、维护及运行工作。</w:t>
      </w:r>
    </w:p>
    <w:p w:rsidR="00D27BFA" w:rsidRDefault="00AF2CC5">
      <w:pPr>
        <w:spacing w:line="50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D27BFA" w:rsidRDefault="00AF2CC5">
      <w:pPr>
        <w:spacing w:line="50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该项目绩效目标已完成。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D27BFA" w:rsidRDefault="00AF2CC5">
      <w:pPr>
        <w:spacing w:line="50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D27BFA" w:rsidRDefault="00AF2CC5">
      <w:pPr>
        <w:spacing w:line="500" w:lineRule="exact"/>
        <w:ind w:leftChars="50" w:left="105" w:rightChars="50" w:right="105" w:firstLine="60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一是</w:t>
      </w:r>
      <w:r>
        <w:rPr>
          <w:rFonts w:ascii="仿宋" w:eastAsia="仿宋" w:hAnsi="仿宋" w:hint="eastAsia"/>
          <w:spacing w:val="-4"/>
          <w:sz w:val="32"/>
          <w:szCs w:val="32"/>
        </w:rPr>
        <w:t>加强保障性安居工程项目的跟踪落实、开工建设、后期管理，确保项目按要求完工。</w:t>
      </w:r>
    </w:p>
    <w:p w:rsidR="00D27BFA" w:rsidRDefault="00AF2CC5">
      <w:pPr>
        <w:spacing w:line="500" w:lineRule="exact"/>
        <w:ind w:firstLineChars="200" w:firstLine="627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二是</w:t>
      </w:r>
      <w:r>
        <w:rPr>
          <w:rFonts w:ascii="仿宋" w:eastAsia="仿宋" w:hAnsi="仿宋" w:hint="eastAsia"/>
          <w:spacing w:val="-4"/>
          <w:sz w:val="32"/>
          <w:szCs w:val="32"/>
        </w:rPr>
        <w:t>加强保障性安居工程项目资金管理，严格按照自治区保障性安居工程专项资金管理执行，建立收支明细，做到专款专用。</w:t>
      </w:r>
    </w:p>
    <w:p w:rsidR="00D27BFA" w:rsidRDefault="00AF2CC5">
      <w:pPr>
        <w:spacing w:line="50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D27BFA" w:rsidRDefault="00AF2CC5">
      <w:pPr>
        <w:spacing w:line="500" w:lineRule="exact"/>
        <w:ind w:firstLineChars="181" w:firstLine="579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玛纳斯县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年棚户区（城中村）改造项目，</w:t>
      </w:r>
      <w:r>
        <w:rPr>
          <w:rFonts w:ascii="仿宋" w:eastAsia="仿宋" w:hAnsi="仿宋" w:hint="eastAsia"/>
          <w:spacing w:val="-4"/>
          <w:sz w:val="32"/>
          <w:szCs w:val="32"/>
        </w:rPr>
        <w:t>跟踪落实、开工建设、后期管理，确保项目按要求完工；建立项目的支付明细，做到专款专用。</w:t>
      </w:r>
    </w:p>
    <w:p w:rsidR="00D27BFA" w:rsidRDefault="00AF2CC5">
      <w:pPr>
        <w:spacing w:line="50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D27BFA" w:rsidRDefault="00AF2CC5">
      <w:pPr>
        <w:spacing w:line="50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/>
          <w:spacing w:val="-4"/>
          <w:sz w:val="32"/>
          <w:szCs w:val="32"/>
        </w:rPr>
        <w:t>其他情况无。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D27BFA" w:rsidRDefault="00AF2CC5">
      <w:pPr>
        <w:spacing w:line="500" w:lineRule="exact"/>
        <w:ind w:firstLineChars="181" w:firstLine="57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该项目的基础数据收集完整，资料来源真实可信，项目现场勘验、检查、核实等情况与实际情况相符。</w:t>
      </w:r>
    </w:p>
    <w:p w:rsidR="00D27BFA" w:rsidRDefault="00AF2CC5">
      <w:pPr>
        <w:spacing w:line="50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D27BFA" w:rsidRDefault="00AF2CC5">
      <w:pPr>
        <w:spacing w:line="500" w:lineRule="exact"/>
        <w:ind w:firstLine="567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b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tbl>
      <w:tblPr>
        <w:tblW w:w="86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5"/>
        <w:gridCol w:w="910"/>
        <w:gridCol w:w="1086"/>
        <w:gridCol w:w="862"/>
        <w:gridCol w:w="703"/>
        <w:gridCol w:w="1583"/>
        <w:gridCol w:w="1484"/>
        <w:gridCol w:w="1469"/>
      </w:tblGrid>
      <w:tr w:rsidR="00D27BFA">
        <w:trPr>
          <w:trHeight w:val="405"/>
        </w:trPr>
        <w:tc>
          <w:tcPr>
            <w:tcW w:w="7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AF2CC5" w:rsidP="00C048F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30164"/>
            <w:bookmarkStart w:id="1" w:name="_GoBack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D27BFA">
        <w:trPr>
          <w:trHeight w:val="285"/>
        </w:trPr>
        <w:tc>
          <w:tcPr>
            <w:tcW w:w="72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</w:t>
            </w:r>
            <w:r>
              <w:rPr>
                <w:rFonts w:hint="eastAsia"/>
                <w:kern w:val="0"/>
                <w:sz w:val="24"/>
              </w:rPr>
              <w:t>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27BFA">
        <w:trPr>
          <w:trHeight w:val="28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27BFA">
        <w:trPr>
          <w:trHeight w:val="420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玛纳斯县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年棚户区（城中村）改造项目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35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玛纳斯县住房和城乡建设局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65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元）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预算数：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509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5105.4204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1486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50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1402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27BFA" w:rsidRDefault="00AF2CC5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棚户区改造任务</w:t>
            </w:r>
            <w:r>
              <w:rPr>
                <w:rFonts w:ascii="仿宋" w:eastAsia="仿宋" w:hAnsi="仿宋" w:cs="仿宋" w:hint="eastAsia"/>
                <w:szCs w:val="21"/>
              </w:rPr>
              <w:t>3300</w:t>
            </w:r>
            <w:r>
              <w:rPr>
                <w:rFonts w:ascii="仿宋" w:eastAsia="仿宋" w:hAnsi="仿宋" w:cs="仿宋" w:hint="eastAsia"/>
                <w:szCs w:val="21"/>
              </w:rPr>
              <w:t>户。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27BFA" w:rsidRDefault="00AF2CC5">
            <w:pPr>
              <w:widowControl/>
              <w:ind w:firstLineChars="100" w:firstLine="21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完成棚户区改造任务</w:t>
            </w:r>
            <w:r>
              <w:rPr>
                <w:rFonts w:ascii="仿宋" w:eastAsia="仿宋" w:hAnsi="仿宋" w:cs="仿宋" w:hint="eastAsia"/>
                <w:szCs w:val="21"/>
              </w:rPr>
              <w:t>3300</w:t>
            </w:r>
            <w:r>
              <w:rPr>
                <w:rFonts w:ascii="仿宋" w:eastAsia="仿宋" w:hAnsi="仿宋" w:cs="仿宋" w:hint="eastAsia"/>
                <w:szCs w:val="21"/>
              </w:rPr>
              <w:t>户。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27BFA">
        <w:trPr>
          <w:trHeight w:val="720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棚户区改造任务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sz w:val="18"/>
                <w:szCs w:val="18"/>
              </w:rPr>
              <w:t>3300</w:t>
            </w:r>
            <w:r>
              <w:rPr>
                <w:rFonts w:ascii="Arial" w:hAnsi="Arial" w:cs="Arial" w:hint="eastAsia"/>
                <w:bCs/>
                <w:sz w:val="18"/>
                <w:szCs w:val="18"/>
              </w:rPr>
              <w:t>户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sz w:val="18"/>
                <w:szCs w:val="18"/>
              </w:rPr>
              <w:t>3300</w:t>
            </w:r>
            <w:r>
              <w:rPr>
                <w:rFonts w:ascii="Arial" w:hAnsi="Arial" w:cs="Arial" w:hint="eastAsia"/>
                <w:bCs/>
                <w:sz w:val="18"/>
                <w:szCs w:val="18"/>
              </w:rPr>
              <w:t>户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F2CC5" w:rsidTr="00AF2CC5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工期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天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F2CC5">
              <w:rPr>
                <w:rFonts w:ascii="宋体" w:hAnsi="宋体" w:cs="宋体" w:hint="eastAsia"/>
                <w:color w:val="FFFFFF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color w:val="333333"/>
                <w:kern w:val="0"/>
                <w:sz w:val="20"/>
                <w:szCs w:val="20"/>
              </w:rPr>
              <w:t>天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BFA" w:rsidRPr="00AF2CC5" w:rsidRDefault="00D27BFA">
            <w:pPr>
              <w:widowControl/>
              <w:jc w:val="center"/>
              <w:rPr>
                <w:rFonts w:ascii="宋体" w:hAnsi="宋体" w:cs="宋体"/>
                <w:color w:val="FFFFFF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每户平均拆迁成本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设计功能实现率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公共服务水平提升情况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比上年提升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比上年提升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804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可持续影响、指标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停车场使用时间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建成后长期使用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建成后长期使用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27BFA">
        <w:trPr>
          <w:trHeight w:val="480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居民满意度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AF2C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BFA" w:rsidRDefault="00D27B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bookmarkEnd w:id="0"/>
      <w:bookmarkEnd w:id="1"/>
    </w:tbl>
    <w:p w:rsidR="00D27BFA" w:rsidRDefault="00D27BFA">
      <w:pPr>
        <w:spacing w:line="540" w:lineRule="exact"/>
        <w:rPr>
          <w:rStyle w:val="ab"/>
          <w:rFonts w:ascii="仿宋" w:eastAsia="仿宋" w:hAnsi="仿宋"/>
          <w:b w:val="0"/>
          <w:spacing w:val="-4"/>
          <w:sz w:val="32"/>
          <w:szCs w:val="32"/>
        </w:rPr>
      </w:pPr>
    </w:p>
    <w:sectPr w:rsidR="00D27BFA">
      <w:footerReference w:type="default" r:id="rId7"/>
      <w:pgSz w:w="11906" w:h="16838"/>
      <w:pgMar w:top="1157" w:right="1558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CC5" w:rsidRDefault="00AF2CC5">
      <w:r>
        <w:separator/>
      </w:r>
    </w:p>
  </w:endnote>
  <w:endnote w:type="continuationSeparator" w:id="0">
    <w:p w:rsidR="00AF2CC5" w:rsidRDefault="00AF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BFA" w:rsidRDefault="00AF2CC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048FA" w:rsidRPr="00C048FA">
      <w:rPr>
        <w:noProof/>
        <w:lang w:val="zh-CN"/>
      </w:rPr>
      <w:t>5</w:t>
    </w:r>
    <w:r>
      <w:fldChar w:fldCharType="end"/>
    </w:r>
  </w:p>
  <w:p w:rsidR="00D27BFA" w:rsidRDefault="00D27B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CC5" w:rsidRDefault="00AF2CC5">
      <w:r>
        <w:separator/>
      </w:r>
    </w:p>
  </w:footnote>
  <w:footnote w:type="continuationSeparator" w:id="0">
    <w:p w:rsidR="00AF2CC5" w:rsidRDefault="00AF2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3B6C"/>
    <w:rsid w:val="00223B6C"/>
    <w:rsid w:val="004218EA"/>
    <w:rsid w:val="004A5AF7"/>
    <w:rsid w:val="00665A4F"/>
    <w:rsid w:val="009E6DC1"/>
    <w:rsid w:val="00AA1D20"/>
    <w:rsid w:val="00AF2CC5"/>
    <w:rsid w:val="00C048FA"/>
    <w:rsid w:val="00D27BFA"/>
    <w:rsid w:val="00D3443C"/>
    <w:rsid w:val="00EA76EA"/>
    <w:rsid w:val="00FF0913"/>
    <w:rsid w:val="195D28BA"/>
    <w:rsid w:val="26472100"/>
    <w:rsid w:val="333806C0"/>
    <w:rsid w:val="4A6D7879"/>
    <w:rsid w:val="5178577E"/>
    <w:rsid w:val="5D1C4714"/>
    <w:rsid w:val="5DB460C1"/>
    <w:rsid w:val="60847B9A"/>
    <w:rsid w:val="6362424D"/>
    <w:rsid w:val="7199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4EF153-89D8-4F90-A647-1DD0C96A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0"/>
    <w:qFormat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a8"/>
    <w:qFormat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9">
    <w:name w:val="Title"/>
    <w:basedOn w:val="a"/>
    <w:next w:val="a"/>
    <w:link w:val="aa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b">
    <w:name w:val="Strong"/>
    <w:qFormat/>
    <w:rPr>
      <w:b/>
      <w:bCs/>
    </w:rPr>
  </w:style>
  <w:style w:type="character" w:styleId="ac">
    <w:name w:val="Emphasis"/>
    <w:qFormat/>
    <w:rPr>
      <w:rFonts w:ascii="Calibri" w:hAnsi="Calibri"/>
      <w:b/>
      <w:i/>
      <w:iCs/>
    </w:rPr>
  </w:style>
  <w:style w:type="character" w:customStyle="1" w:styleId="10">
    <w:name w:val="标题 1 字符"/>
    <w:link w:val="1"/>
    <w:semiHidden/>
    <w:qFormat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semiHidden/>
    <w:qFormat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semiHidden/>
    <w:qFormat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semiHidden/>
    <w:qFormat/>
    <w:rPr>
      <w:b/>
      <w:bCs/>
      <w:sz w:val="28"/>
      <w:szCs w:val="28"/>
    </w:rPr>
  </w:style>
  <w:style w:type="character" w:customStyle="1" w:styleId="50">
    <w:name w:val="标题 5 字符"/>
    <w:link w:val="5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semiHidden/>
    <w:qFormat/>
    <w:rPr>
      <w:b/>
      <w:bCs/>
    </w:rPr>
  </w:style>
  <w:style w:type="character" w:customStyle="1" w:styleId="70">
    <w:name w:val="标题 7 字符"/>
    <w:link w:val="7"/>
    <w:semiHidden/>
    <w:qFormat/>
    <w:rPr>
      <w:sz w:val="24"/>
      <w:szCs w:val="24"/>
    </w:rPr>
  </w:style>
  <w:style w:type="character" w:customStyle="1" w:styleId="80">
    <w:name w:val="标题 8 字符"/>
    <w:link w:val="8"/>
    <w:semiHidden/>
    <w:qFormat/>
    <w:rPr>
      <w:i/>
      <w:iCs/>
      <w:sz w:val="24"/>
      <w:szCs w:val="24"/>
    </w:rPr>
  </w:style>
  <w:style w:type="character" w:customStyle="1" w:styleId="90">
    <w:name w:val="标题 9 字符"/>
    <w:link w:val="9"/>
    <w:semiHidden/>
    <w:qFormat/>
    <w:rPr>
      <w:rFonts w:ascii="Cambria" w:eastAsia="宋体" w:hAnsi="Cambria"/>
    </w:rPr>
  </w:style>
  <w:style w:type="character" w:customStyle="1" w:styleId="Char">
    <w:name w:val="文本块 Char"/>
    <w:link w:val="11"/>
    <w:semiHidden/>
    <w:qFormat/>
    <w:rPr>
      <w:i/>
      <w:sz w:val="24"/>
      <w:szCs w:val="24"/>
    </w:rPr>
  </w:style>
  <w:style w:type="paragraph" w:customStyle="1" w:styleId="11">
    <w:name w:val="文本块1"/>
    <w:basedOn w:val="a"/>
    <w:next w:val="a"/>
    <w:link w:val="Char"/>
    <w:qFormat/>
    <w:pPr>
      <w:widowControl/>
      <w:jc w:val="left"/>
    </w:pPr>
    <w:rPr>
      <w:i/>
      <w:sz w:val="24"/>
    </w:rPr>
  </w:style>
  <w:style w:type="character" w:customStyle="1" w:styleId="a4">
    <w:name w:val="页脚 字符"/>
    <w:link w:val="a3"/>
    <w:semiHidden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眉 字符"/>
    <w:link w:val="a5"/>
    <w:semiHidden/>
    <w:qFormat/>
    <w:rPr>
      <w:rFonts w:ascii="Calibri" w:eastAsia="宋体" w:hAnsi="Calibri"/>
      <w:kern w:val="2"/>
      <w:sz w:val="18"/>
      <w:szCs w:val="18"/>
    </w:rPr>
  </w:style>
  <w:style w:type="character" w:customStyle="1" w:styleId="a8">
    <w:name w:val="副标题 字符"/>
    <w:link w:val="a7"/>
    <w:semiHidden/>
    <w:qFormat/>
    <w:rPr>
      <w:rFonts w:ascii="Cambria" w:eastAsia="宋体" w:hAnsi="Cambria"/>
      <w:sz w:val="24"/>
      <w:szCs w:val="24"/>
    </w:rPr>
  </w:style>
  <w:style w:type="character" w:customStyle="1" w:styleId="aa">
    <w:name w:val="标题 字符"/>
    <w:link w:val="a9"/>
    <w:semiHidden/>
    <w:qFormat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CharChar">
    <w:name w:val="批注框文本 Char Char"/>
    <w:basedOn w:val="a"/>
    <w:link w:val="CharCharChar"/>
    <w:qFormat/>
    <w:rPr>
      <w:sz w:val="18"/>
      <w:szCs w:val="18"/>
    </w:rPr>
  </w:style>
  <w:style w:type="paragraph" w:customStyle="1" w:styleId="12">
    <w:name w:val="无间隔1"/>
    <w:basedOn w:val="a"/>
    <w:qFormat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3">
    <w:name w:val="列出段落1"/>
    <w:basedOn w:val="a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4">
    <w:name w:val="明显引用1"/>
    <w:basedOn w:val="a"/>
    <w:next w:val="a"/>
    <w:link w:val="Char0"/>
    <w:qFormat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qFormat/>
    <w:pPr>
      <w:outlineLvl w:val="9"/>
    </w:pPr>
    <w:rPr>
      <w:lang w:eastAsia="en-US" w:bidi="en-US"/>
    </w:rPr>
  </w:style>
  <w:style w:type="character" w:customStyle="1" w:styleId="CharCharChar">
    <w:name w:val="批注框文本 Char Char Char"/>
    <w:link w:val="CharChar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0">
    <w:name w:val="明显引用 Char"/>
    <w:link w:val="14"/>
    <w:semiHidden/>
    <w:qFormat/>
    <w:rPr>
      <w:b/>
      <w:i/>
      <w:sz w:val="24"/>
    </w:rPr>
  </w:style>
  <w:style w:type="character" w:customStyle="1" w:styleId="15">
    <w:name w:val="不明显强调1"/>
    <w:qFormat/>
    <w:rPr>
      <w:i/>
      <w:color w:val="565656"/>
    </w:rPr>
  </w:style>
  <w:style w:type="character" w:customStyle="1" w:styleId="16">
    <w:name w:val="明显强调1"/>
    <w:qFormat/>
    <w:rPr>
      <w:b/>
      <w:i/>
      <w:sz w:val="24"/>
      <w:szCs w:val="24"/>
      <w:u w:val="single"/>
    </w:rPr>
  </w:style>
  <w:style w:type="character" w:customStyle="1" w:styleId="17">
    <w:name w:val="不明显参考1"/>
    <w:qFormat/>
    <w:rPr>
      <w:sz w:val="24"/>
      <w:szCs w:val="24"/>
      <w:u w:val="single"/>
    </w:rPr>
  </w:style>
  <w:style w:type="character" w:customStyle="1" w:styleId="18">
    <w:name w:val="明显参考1"/>
    <w:qFormat/>
    <w:rPr>
      <w:b/>
      <w:sz w:val="24"/>
      <w:u w:val="single"/>
    </w:rPr>
  </w:style>
  <w:style w:type="character" w:customStyle="1" w:styleId="19">
    <w:name w:val="书籍标题1"/>
    <w:qFormat/>
    <w:rPr>
      <w:rFonts w:ascii="Cambria" w:eastAsia="宋体" w:hAnsi="Cambria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creator>赵 恺（预算处）</dc:creator>
  <cp:lastModifiedBy>707693921@qq.com</cp:lastModifiedBy>
  <cp:revision>5</cp:revision>
  <cp:lastPrinted>2019-01-14T12:20:00Z</cp:lastPrinted>
  <dcterms:created xsi:type="dcterms:W3CDTF">2018-08-16T02:06:00Z</dcterms:created>
  <dcterms:modified xsi:type="dcterms:W3CDTF">2019-09-25T10:55:00Z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