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城市公共设施</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玛纳斯县建设局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玛纳斯县国土局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吴永生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5"/>
          <w:rFonts w:ascii="黑体" w:hAnsi="黑体" w:eastAsia="黑体"/>
          <w:b w:val="0"/>
          <w:spacing w:val="-4"/>
          <w:sz w:val="32"/>
          <w:szCs w:val="32"/>
        </w:rPr>
      </w:pP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一、项目概况</w:t>
      </w:r>
    </w:p>
    <w:p>
      <w:pPr>
        <w:spacing w:line="540" w:lineRule="exact"/>
        <w:ind w:firstLine="567"/>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（一）项目单位基本情况</w:t>
      </w:r>
    </w:p>
    <w:p>
      <w:pPr>
        <w:spacing w:line="540" w:lineRule="exact"/>
        <w:ind w:firstLine="567" w:firstLineChars="181"/>
        <w:rPr>
          <w:rFonts w:hint="eastAsia" w:ascii="仿宋_GB2312" w:eastAsia="仿宋_GB2312"/>
          <w:spacing w:val="-4"/>
          <w:sz w:val="32"/>
          <w:szCs w:val="32"/>
          <w:lang w:eastAsia="zh-CN"/>
        </w:rPr>
      </w:pPr>
      <w:r>
        <w:rPr>
          <w:rStyle w:val="5"/>
          <w:rFonts w:hint="eastAsia" w:ascii="仿宋_GB2312" w:hAnsi="仿宋_GB2312" w:eastAsia="仿宋_GB2312" w:cs="仿宋_GB2312"/>
          <w:spacing w:val="-4"/>
          <w:sz w:val="32"/>
          <w:szCs w:val="32"/>
          <w:lang w:val="en-US" w:eastAsia="zh-CN"/>
        </w:rPr>
        <w:t xml:space="preserve">     </w:t>
      </w:r>
      <w:r>
        <w:rPr>
          <w:rFonts w:hint="eastAsia" w:ascii="仿宋_GB2312" w:eastAsia="仿宋_GB2312"/>
          <w:spacing w:val="-4"/>
          <w:sz w:val="32"/>
          <w:szCs w:val="32"/>
          <w:lang w:eastAsia="zh-CN"/>
        </w:rPr>
        <w:t>玛纳斯县国土资源局，国家机关，位于新疆维吾尔自治区昌吉回族自治州新疆维吾尔自治区昌吉回族自治州玛纳斯县碧玉大道文博中心斜对面。单位人数在职在编人员</w:t>
      </w:r>
      <w:r>
        <w:rPr>
          <w:rFonts w:hint="eastAsia" w:ascii="仿宋_GB2312" w:eastAsia="仿宋_GB2312"/>
          <w:spacing w:val="-4"/>
          <w:sz w:val="32"/>
          <w:szCs w:val="32"/>
          <w:lang w:val="en-US" w:eastAsia="zh-CN"/>
        </w:rPr>
        <w:t>33人，</w:t>
      </w:r>
      <w:r>
        <w:rPr>
          <w:rFonts w:hint="eastAsia" w:ascii="仿宋_GB2312" w:eastAsia="仿宋_GB2312"/>
          <w:spacing w:val="-4"/>
          <w:sz w:val="32"/>
          <w:szCs w:val="32"/>
          <w:lang w:eastAsia="zh-CN"/>
        </w:rPr>
        <w:t>主要管理范围：全县土地利用管理，农业用地，砖厂及煤矿的设立审批。</w:t>
      </w:r>
    </w:p>
    <w:p>
      <w:pPr>
        <w:spacing w:line="540" w:lineRule="exact"/>
        <w:ind w:firstLine="567"/>
        <w:rPr>
          <w:rStyle w:val="5"/>
          <w:rFonts w:hint="eastAsia" w:ascii="仿宋_GB2312" w:hAnsi="仿宋_GB2312" w:eastAsia="仿宋_GB2312" w:cs="仿宋_GB2312"/>
          <w:spacing w:val="-4"/>
          <w:sz w:val="32"/>
          <w:szCs w:val="32"/>
          <w:lang w:val="en-US" w:eastAsia="zh-CN"/>
        </w:rPr>
      </w:pP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（二）项目预算绩效目标设定情况</w:t>
      </w:r>
    </w:p>
    <w:p>
      <w:pPr>
        <w:spacing w:line="54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预期目标：修补城市道路破损油面及非机动车道</w:t>
      </w:r>
      <w:r>
        <w:rPr>
          <w:rFonts w:hint="eastAsia" w:ascii="仿宋_GB2312" w:hAnsi="仿宋_GB2312" w:eastAsia="仿宋_GB2312" w:cs="仿宋_GB2312"/>
          <w:bCs/>
          <w:kern w:val="0"/>
          <w:sz w:val="32"/>
          <w:szCs w:val="32"/>
        </w:rPr>
        <w:t>确保城市交通安全。</w:t>
      </w:r>
    </w:p>
    <w:p>
      <w:pPr>
        <w:spacing w:line="540" w:lineRule="exact"/>
        <w:ind w:firstLine="64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项目性质及用途：该项目属于</w:t>
      </w:r>
      <w:r>
        <w:rPr>
          <w:rFonts w:hint="eastAsia" w:ascii="仿宋_GB2312" w:hAnsi="仿宋_GB2312" w:eastAsia="仿宋_GB2312" w:cs="仿宋_GB2312"/>
          <w:color w:val="000000"/>
          <w:sz w:val="32"/>
          <w:szCs w:val="32"/>
        </w:rPr>
        <w:t>2018年城区道路修补项目</w:t>
      </w:r>
    </w:p>
    <w:p>
      <w:pPr>
        <w:spacing w:line="540" w:lineRule="exact"/>
        <w:ind w:firstLine="936" w:firstLineChars="30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二、项目资金使用及管理情况</w:t>
      </w: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（一）项目资金安排落实、总投入等情况分析</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项目总投资</w:t>
      </w:r>
      <w:r>
        <w:rPr>
          <w:rFonts w:hint="eastAsia" w:ascii="仿宋_GB2312" w:hAnsi="仿宋_GB2312" w:eastAsia="仿宋_GB2312" w:cs="仿宋_GB2312"/>
          <w:color w:val="000000"/>
          <w:sz w:val="32"/>
          <w:szCs w:val="32"/>
          <w:lang w:val="en-US" w:eastAsia="zh-CN"/>
        </w:rPr>
        <w:t>99</w:t>
      </w:r>
      <w:r>
        <w:rPr>
          <w:rFonts w:hint="eastAsia" w:ascii="仿宋_GB2312" w:hAnsi="仿宋_GB2312" w:eastAsia="仿宋_GB2312" w:cs="仿宋_GB2312"/>
          <w:color w:val="000000"/>
          <w:sz w:val="32"/>
          <w:szCs w:val="32"/>
        </w:rPr>
        <w:t>万元，资金均从县财政安排。</w:t>
      </w: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（二）项目资金实际使用情况分析</w:t>
      </w:r>
    </w:p>
    <w:p>
      <w:pPr>
        <w:spacing w:line="540" w:lineRule="exact"/>
        <w:ind w:firstLine="579" w:firstLineChars="181"/>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rPr>
        <w:t>项目概况：</w:t>
      </w:r>
      <w:r>
        <w:rPr>
          <w:rFonts w:hint="eastAsia" w:ascii="仿宋_GB2312" w:hAnsi="仿宋_GB2312" w:eastAsia="仿宋_GB2312" w:cs="仿宋_GB2312"/>
          <w:sz w:val="32"/>
          <w:szCs w:val="32"/>
        </w:rPr>
        <w:t>对城区团结路、文化路、振兴路、中华路、幸福路、建设北路、西海路、楼南路路面坑槽进行修补，维修面积约：</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00平米，城市道路油面厚度为7cm，（含切割、废料拉运、油面铺设、碾压），中华路、团结路、凤凰路、文化路部分非机动车道存在路面塌陷，坑槽较多，需重新铺设油面，面积约：1500平米。城市道路非机动车道油面厚度为5cm，（含切割、废料拉运、油面铺设、碾压），通过政府采购由新疆通汇建设集团有限公司中标，中标价：</w:t>
      </w:r>
      <w:r>
        <w:rPr>
          <w:rFonts w:hint="eastAsia" w:ascii="仿宋_GB2312" w:hAnsi="仿宋_GB2312" w:eastAsia="仿宋_GB2312" w:cs="仿宋_GB2312"/>
          <w:sz w:val="32"/>
          <w:szCs w:val="32"/>
          <w:lang w:val="en-US" w:eastAsia="zh-CN"/>
        </w:rPr>
        <w:t>99万元</w:t>
      </w:r>
      <w:r>
        <w:rPr>
          <w:rFonts w:hint="eastAsia" w:ascii="仿宋_GB2312" w:hAnsi="仿宋_GB2312" w:eastAsia="仿宋_GB2312" w:cs="仿宋_GB2312"/>
          <w:sz w:val="32"/>
          <w:szCs w:val="32"/>
        </w:rPr>
        <w:t>元，2018年已全部完工，支付工程款</w:t>
      </w:r>
      <w:r>
        <w:rPr>
          <w:rFonts w:hint="eastAsia" w:ascii="仿宋_GB2312" w:hAnsi="仿宋_GB2312" w:eastAsia="仿宋_GB2312" w:cs="仿宋_GB2312"/>
          <w:sz w:val="32"/>
          <w:szCs w:val="32"/>
          <w:lang w:val="en-US" w:eastAsia="zh-CN"/>
        </w:rPr>
        <w:t>99万</w:t>
      </w:r>
      <w:r>
        <w:rPr>
          <w:rFonts w:hint="eastAsia" w:ascii="仿宋_GB2312" w:hAnsi="仿宋_GB2312" w:eastAsia="仿宋_GB2312" w:cs="仿宋_GB2312"/>
          <w:sz w:val="32"/>
          <w:szCs w:val="32"/>
        </w:rPr>
        <w:t>元。</w:t>
      </w: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（三）项目资金管理情况分析</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按照施工进度，</w:t>
      </w:r>
      <w:r>
        <w:rPr>
          <w:rFonts w:hint="eastAsia" w:ascii="仿宋_GB2312" w:hAnsi="仿宋_GB2312" w:eastAsia="仿宋_GB2312" w:cs="仿宋_GB2312"/>
          <w:color w:val="000000"/>
          <w:sz w:val="32"/>
          <w:szCs w:val="32"/>
          <w:shd w:val="clear" w:color="auto" w:fill="FFFFFF"/>
        </w:rPr>
        <w:t>严格合同签订，落实项目的验收，做好资金支付的审核审批手续，</w:t>
      </w:r>
      <w:r>
        <w:rPr>
          <w:rStyle w:val="5"/>
          <w:rFonts w:hint="eastAsia" w:ascii="仿宋_GB2312" w:hAnsi="仿宋_GB2312" w:eastAsia="仿宋_GB2312" w:cs="仿宋_GB2312"/>
          <w:b w:val="0"/>
          <w:spacing w:val="-4"/>
          <w:sz w:val="32"/>
          <w:szCs w:val="32"/>
        </w:rPr>
        <w:t>接受县财政局对资金使用的监督检查，确保资金运行安全。</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三、项目组织实施情况</w:t>
      </w: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（一）项目组织情况分析</w:t>
      </w:r>
    </w:p>
    <w:p>
      <w:pPr>
        <w:spacing w:line="500" w:lineRule="exact"/>
        <w:ind w:left="105" w:leftChars="50" w:right="105" w:rightChars="50"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1.项目招投标情况：按照《中华人民共和国招标投标法实施条例</w:t>
      </w:r>
      <w:bookmarkStart w:id="0" w:name="_GoBack"/>
      <w:bookmarkEnd w:id="0"/>
      <w:r>
        <w:rPr>
          <w:rFonts w:hint="eastAsia" w:ascii="仿宋_GB2312" w:hAnsi="仿宋_GB2312" w:eastAsia="仿宋_GB2312" w:cs="仿宋_GB2312"/>
          <w:bCs/>
          <w:kern w:val="0"/>
          <w:sz w:val="32"/>
          <w:szCs w:val="32"/>
        </w:rPr>
        <w:t>》、《新疆维吾尔自治区工程建设项目招标范围和规模标准规定》等相关规定和精神，通过竞争性谈判等方式进行项目招投标。</w:t>
      </w:r>
    </w:p>
    <w:p>
      <w:pPr>
        <w:spacing w:line="540" w:lineRule="exact"/>
        <w:ind w:firstLine="567" w:firstLineChars="181"/>
        <w:rPr>
          <w:rStyle w:val="5"/>
          <w:rFonts w:hint="eastAsia" w:ascii="仿宋_GB2312" w:hAnsi="仿宋_GB2312" w:eastAsia="仿宋_GB2312" w:cs="仿宋_GB2312"/>
          <w:spacing w:val="-4"/>
          <w:sz w:val="32"/>
          <w:szCs w:val="32"/>
        </w:rPr>
      </w:pPr>
      <w:r>
        <w:rPr>
          <w:rStyle w:val="5"/>
          <w:rFonts w:hint="eastAsia" w:ascii="仿宋_GB2312" w:hAnsi="仿宋_GB2312" w:eastAsia="仿宋_GB2312" w:cs="仿宋_GB2312"/>
          <w:spacing w:val="-4"/>
          <w:sz w:val="32"/>
          <w:szCs w:val="32"/>
        </w:rPr>
        <w:t>（二）项目管理情况分析</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该项目通过公开招标，确定</w:t>
      </w:r>
      <w:r>
        <w:rPr>
          <w:rFonts w:hint="eastAsia" w:ascii="仿宋_GB2312" w:hAnsi="仿宋_GB2312" w:eastAsia="仿宋_GB2312" w:cs="仿宋_GB2312"/>
          <w:sz w:val="32"/>
          <w:szCs w:val="32"/>
        </w:rPr>
        <w:t>新疆通汇建设集团有限公司中标</w:t>
      </w:r>
      <w:r>
        <w:rPr>
          <w:rStyle w:val="5"/>
          <w:rFonts w:hint="eastAsia" w:ascii="仿宋_GB2312" w:hAnsi="仿宋_GB2312" w:eastAsia="仿宋_GB2312" w:cs="仿宋_GB2312"/>
          <w:b w:val="0"/>
          <w:spacing w:val="-4"/>
          <w:sz w:val="32"/>
          <w:szCs w:val="32"/>
        </w:rPr>
        <w:t>为最终中标单位，进行项目的施工建设。</w:t>
      </w:r>
    </w:p>
    <w:p>
      <w:pPr>
        <w:spacing w:line="540" w:lineRule="exact"/>
        <w:ind w:firstLine="936" w:firstLineChars="300"/>
        <w:rPr>
          <w:rStyle w:val="5"/>
          <w:rFonts w:hint="eastAsia" w:ascii="仿宋_GB2312" w:hAnsi="仿宋_GB2312" w:eastAsia="仿宋_GB2312" w:cs="仿宋_GB2312"/>
          <w:sz w:val="32"/>
          <w:szCs w:val="32"/>
        </w:rPr>
      </w:pPr>
      <w:r>
        <w:rPr>
          <w:rStyle w:val="5"/>
          <w:rFonts w:hint="eastAsia" w:ascii="仿宋_GB2312" w:hAnsi="仿宋_GB2312" w:eastAsia="仿宋_GB2312" w:cs="仿宋_GB2312"/>
          <w:b w:val="0"/>
          <w:spacing w:val="-4"/>
          <w:sz w:val="32"/>
          <w:szCs w:val="32"/>
        </w:rPr>
        <w:t>四、项目绩效情况</w:t>
      </w:r>
      <w:r>
        <w:rPr>
          <w:rStyle w:val="5"/>
          <w:rFonts w:hint="eastAsia" w:ascii="仿宋_GB2312" w:hAnsi="仿宋_GB2312" w:eastAsia="仿宋_GB2312" w:cs="仿宋_GB2312"/>
          <w:sz w:val="32"/>
          <w:szCs w:val="32"/>
        </w:rPr>
        <w:t xml:space="preserve"> </w:t>
      </w:r>
    </w:p>
    <w:p>
      <w:pPr>
        <w:spacing w:line="54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（一）项目绩效目标完成情况分析</w:t>
      </w:r>
    </w:p>
    <w:p>
      <w:pPr>
        <w:spacing w:line="540" w:lineRule="exact"/>
        <w:ind w:firstLine="564" w:firstLineChars="181"/>
        <w:rPr>
          <w:rFonts w:hint="eastAsia" w:ascii="仿宋_GB2312" w:hAnsi="仿宋_GB2312" w:eastAsia="仿宋_GB2312" w:cs="仿宋_GB2312"/>
          <w:sz w:val="32"/>
          <w:szCs w:val="32"/>
          <w:lang w:eastAsia="zh-CN"/>
        </w:rPr>
      </w:pPr>
      <w:r>
        <w:rPr>
          <w:rStyle w:val="5"/>
          <w:rFonts w:hint="eastAsia" w:ascii="仿宋_GB2312" w:hAnsi="仿宋_GB2312" w:eastAsia="仿宋_GB2312" w:cs="仿宋_GB2312"/>
          <w:b w:val="0"/>
          <w:spacing w:val="-4"/>
          <w:sz w:val="32"/>
          <w:szCs w:val="32"/>
        </w:rPr>
        <w:t>1.数量指标：</w:t>
      </w:r>
      <w:r>
        <w:rPr>
          <w:rFonts w:hint="eastAsia" w:ascii="仿宋_GB2312" w:hAnsi="仿宋_GB2312" w:eastAsia="仿宋_GB2312" w:cs="仿宋_GB2312"/>
          <w:sz w:val="32"/>
          <w:szCs w:val="32"/>
        </w:rPr>
        <w:t>对城区中华路、建设北路、西海路、楼南路等13条路面及非机动车道坑槽进行修补</w:t>
      </w:r>
      <w:r>
        <w:rPr>
          <w:rFonts w:hint="eastAsia" w:ascii="仿宋_GB2312" w:hAnsi="仿宋_GB2312" w:eastAsia="仿宋_GB2312" w:cs="仿宋_GB2312"/>
          <w:sz w:val="32"/>
          <w:szCs w:val="32"/>
          <w:lang w:eastAsia="zh-CN"/>
        </w:rPr>
        <w:t>。</w:t>
      </w:r>
    </w:p>
    <w:p>
      <w:pPr>
        <w:spacing w:line="540" w:lineRule="exact"/>
        <w:ind w:firstLine="564" w:firstLineChars="181"/>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2.质量指标：所有项目严格遵守《城市道路管理规范》竣工验收程序按期验收，2018年验收合格率达到95%。</w:t>
      </w:r>
    </w:p>
    <w:p>
      <w:pPr>
        <w:spacing w:line="540" w:lineRule="exact"/>
        <w:ind w:firstLine="564" w:firstLineChars="181"/>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3.社会及生态效益指标：通过该项目建设，改善城区交通安全及行人通行安全。</w:t>
      </w:r>
    </w:p>
    <w:p>
      <w:pPr>
        <w:spacing w:line="540" w:lineRule="exact"/>
        <w:ind w:firstLine="564" w:firstLineChars="181"/>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4.可持续影响指标：该项目建成后预期能够长期使用，由住建局负责后期的管理、维护及运行工作。</w:t>
      </w:r>
    </w:p>
    <w:p>
      <w:pPr>
        <w:spacing w:line="54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（二）项目绩效目标未完成原因分析</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五、其他需要说明的问题</w:t>
      </w:r>
    </w:p>
    <w:p>
      <w:pPr>
        <w:spacing w:line="54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（一）后续工作计划</w:t>
      </w:r>
    </w:p>
    <w:p>
      <w:pPr>
        <w:spacing w:line="540" w:lineRule="exact"/>
        <w:ind w:firstLine="624" w:firstLineChars="200"/>
        <w:rPr>
          <w:rFonts w:hint="eastAsia" w:ascii="仿宋_GB2312" w:hAnsi="仿宋_GB2312" w:eastAsia="仿宋_GB2312" w:cs="仿宋_GB2312"/>
          <w:b/>
          <w:spacing w:val="-4"/>
          <w:sz w:val="32"/>
          <w:szCs w:val="32"/>
        </w:rPr>
      </w:pPr>
      <w:r>
        <w:rPr>
          <w:rFonts w:hint="eastAsia" w:ascii="仿宋_GB2312" w:hAnsi="仿宋_GB2312" w:eastAsia="仿宋_GB2312" w:cs="仿宋_GB2312"/>
          <w:bCs/>
          <w:spacing w:val="-4"/>
          <w:sz w:val="32"/>
          <w:szCs w:val="32"/>
        </w:rPr>
        <w:t>一、按合同约定，由施工单位进行城市道路维修，确保城市道路的正常运行。</w:t>
      </w:r>
    </w:p>
    <w:p>
      <w:pPr>
        <w:spacing w:line="54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（二）主要经验及做法、存在问题和建议</w:t>
      </w:r>
    </w:p>
    <w:p>
      <w:pPr>
        <w:spacing w:line="540" w:lineRule="exact"/>
        <w:ind w:firstLine="579" w:firstLineChars="181"/>
        <w:rPr>
          <w:rFonts w:hint="eastAsia" w:ascii="仿宋_GB2312" w:hAnsi="仿宋_GB2312" w:eastAsia="仿宋_GB2312" w:cs="仿宋_GB2312"/>
          <w:spacing w:val="-4"/>
          <w:sz w:val="32"/>
          <w:szCs w:val="32"/>
        </w:rPr>
      </w:pPr>
      <w:r>
        <w:rPr>
          <w:rFonts w:hint="eastAsia" w:ascii="仿宋_GB2312" w:hAnsi="仿宋_GB2312" w:eastAsia="仿宋_GB2312" w:cs="仿宋_GB2312"/>
          <w:kern w:val="0"/>
          <w:sz w:val="32"/>
          <w:szCs w:val="32"/>
        </w:rPr>
        <w:t>对城乡基础设施建设</w:t>
      </w:r>
      <w:r>
        <w:rPr>
          <w:rFonts w:hint="eastAsia" w:ascii="仿宋_GB2312" w:hAnsi="仿宋_GB2312" w:eastAsia="仿宋_GB2312" w:cs="仿宋_GB2312"/>
          <w:sz w:val="32"/>
          <w:szCs w:val="32"/>
        </w:rPr>
        <w:t>项目，</w:t>
      </w:r>
      <w:r>
        <w:rPr>
          <w:rFonts w:hint="eastAsia" w:ascii="仿宋_GB2312" w:hAnsi="仿宋_GB2312" w:eastAsia="仿宋_GB2312" w:cs="仿宋_GB2312"/>
          <w:spacing w:val="-4"/>
          <w:sz w:val="32"/>
          <w:szCs w:val="32"/>
        </w:rPr>
        <w:t>跟踪落实、开工建设、后期管理，确保项目按要求完工；确保项目按要求完工；建立项目的支付明细，做到专款专用。</w:t>
      </w:r>
    </w:p>
    <w:p>
      <w:pPr>
        <w:spacing w:line="540" w:lineRule="exact"/>
        <w:ind w:firstLine="567" w:firstLineChars="181"/>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（三）其他</w:t>
      </w:r>
    </w:p>
    <w:p>
      <w:pPr>
        <w:spacing w:line="540" w:lineRule="exact"/>
        <w:ind w:firstLine="567" w:firstLineChars="181"/>
        <w:rPr>
          <w:rFonts w:hint="eastAsia" w:ascii="仿宋_GB2312" w:hAnsi="仿宋_GB2312" w:eastAsia="仿宋_GB2312" w:cs="仿宋_GB2312"/>
          <w:b/>
          <w:spacing w:val="-4"/>
          <w:sz w:val="32"/>
          <w:szCs w:val="32"/>
          <w:lang w:val="en-US" w:eastAsia="zh-CN"/>
        </w:rPr>
      </w:pPr>
      <w:r>
        <w:rPr>
          <w:rFonts w:hint="eastAsia" w:ascii="仿宋_GB2312" w:hAnsi="仿宋_GB2312" w:eastAsia="仿宋_GB2312" w:cs="仿宋_GB2312"/>
          <w:b/>
          <w:spacing w:val="-4"/>
          <w:sz w:val="32"/>
          <w:szCs w:val="32"/>
          <w:lang w:val="en-US" w:eastAsia="zh-CN"/>
        </w:rPr>
        <w:t xml:space="preserve">      其他情况无。</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六、项目评价工作情况</w:t>
      </w:r>
    </w:p>
    <w:p>
      <w:pPr>
        <w:ind w:firstLine="624"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该项目的基础数据收集完整，资料来源真实可信，项目的施工通过公开招标的方式确定中标单位，项目现场勘验、检查、核实等情况与实际情况相符。</w:t>
      </w:r>
    </w:p>
    <w:p>
      <w:pPr>
        <w:spacing w:line="540" w:lineRule="exact"/>
        <w:ind w:firstLine="640"/>
        <w:rPr>
          <w:rStyle w:val="5"/>
          <w:rFonts w:hint="eastAsia"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七、附表</w:t>
      </w:r>
    </w:p>
    <w:p>
      <w:pPr>
        <w:spacing w:line="540" w:lineRule="exact"/>
        <w:ind w:firstLine="567"/>
        <w:rPr>
          <w:rStyle w:val="5"/>
          <w:rFonts w:ascii="仿宋" w:hAnsi="仿宋" w:eastAsia="仿宋"/>
          <w:b w:val="0"/>
          <w:spacing w:val="-4"/>
          <w:sz w:val="32"/>
          <w:szCs w:val="32"/>
        </w:rPr>
      </w:pPr>
      <w:r>
        <w:rPr>
          <w:rStyle w:val="5"/>
          <w:rFonts w:hint="eastAsia" w:ascii="仿宋_GB2312" w:hAnsi="仿宋_GB2312" w:eastAsia="仿宋_GB2312" w:cs="仿宋_GB2312"/>
          <w:b w:val="0"/>
          <w:spacing w:val="-4"/>
          <w:sz w:val="32"/>
          <w:szCs w:val="32"/>
        </w:rPr>
        <w:t>《</w:t>
      </w:r>
      <w:r>
        <w:rPr>
          <w:rStyle w:val="5"/>
          <w:rFonts w:hint="eastAsia" w:ascii="仿宋_GB2312" w:hAnsi="仿宋_GB2312" w:eastAsia="仿宋_GB2312" w:cs="仿宋_GB2312"/>
          <w:b w:val="0"/>
          <w:spacing w:val="-4"/>
          <w:sz w:val="32"/>
          <w:szCs w:val="32"/>
          <w:lang w:eastAsia="zh-CN"/>
        </w:rPr>
        <w:t>玛纳斯</w:t>
      </w:r>
      <w:r>
        <w:rPr>
          <w:rStyle w:val="5"/>
          <w:rFonts w:hint="eastAsia" w:ascii="仿宋_GB2312" w:hAnsi="仿宋_GB2312" w:eastAsia="仿宋_GB2312" w:cs="仿宋_GB2312"/>
          <w:b w:val="0"/>
          <w:spacing w:val="-4"/>
          <w:sz w:val="32"/>
          <w:szCs w:val="32"/>
        </w:rPr>
        <w:t>财政项目支出绩效自评表》</w:t>
      </w:r>
    </w:p>
    <w:p>
      <w:pPr>
        <w:spacing w:line="540" w:lineRule="exact"/>
        <w:ind w:firstLine="567"/>
        <w:rPr>
          <w:rStyle w:val="5"/>
          <w:rFonts w:ascii="仿宋" w:hAnsi="仿宋" w:eastAsia="仿宋"/>
          <w:b w:val="0"/>
          <w:spacing w:val="-4"/>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61"/>
        <w:gridCol w:w="1339"/>
        <w:gridCol w:w="1080"/>
        <w:gridCol w:w="873"/>
        <w:gridCol w:w="2010"/>
        <w:gridCol w:w="1837"/>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b w:val="0"/>
                <w:bCs w:val="0"/>
                <w:kern w:val="0"/>
                <w:sz w:val="24"/>
                <w:szCs w:val="24"/>
                <w:lang w:val="en-US" w:eastAsia="zh-CN"/>
              </w:rPr>
              <w:t>2018</w:t>
            </w:r>
            <w:r>
              <w:rPr>
                <w:rFonts w:hint="eastAsia" w:ascii="楷体" w:hAnsi="楷体" w:eastAsia="楷体" w:cs="楷体"/>
                <w:b w:val="0"/>
                <w:bCs w:val="0"/>
                <w:kern w:val="0"/>
                <w:sz w:val="24"/>
                <w:szCs w:val="24"/>
              </w:rPr>
              <w:t xml:space="preserve">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6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3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73"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1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83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left" w:pos="885"/>
                <w:tab w:val="center" w:pos="2952"/>
              </w:tabs>
              <w:jc w:val="left"/>
              <w:rPr>
                <w:rFonts w:ascii="宋体" w:hAnsi="宋体" w:cs="宋体"/>
                <w:kern w:val="0"/>
                <w:sz w:val="20"/>
                <w:szCs w:val="20"/>
              </w:rPr>
            </w:pPr>
            <w:r>
              <w:rPr>
                <w:rFonts w:hint="eastAsia" w:ascii="宋体" w:hAnsi="宋体" w:cs="宋体"/>
                <w:kern w:val="0"/>
                <w:sz w:val="20"/>
                <w:szCs w:val="20"/>
                <w:lang w:eastAsia="zh-CN"/>
              </w:rPr>
              <w:t>城市公共设施项目</w:t>
            </w:r>
            <w:r>
              <w:rPr>
                <w:rFonts w:hint="eastAsia" w:ascii="宋体" w:hAnsi="宋体" w:cs="宋体"/>
                <w:kern w:val="0"/>
                <w:sz w:val="20"/>
                <w:szCs w:val="20"/>
                <w:lang w:eastAsia="zh-CN"/>
              </w:rPr>
              <w:tab/>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ascii="宋体" w:hAnsi="宋体" w:cs="宋体"/>
                <w:kern w:val="0"/>
                <w:sz w:val="20"/>
                <w:szCs w:val="20"/>
              </w:rPr>
            </w:pPr>
            <w:r>
              <w:rPr>
                <w:rFonts w:hint="eastAsia" w:ascii="宋体" w:hAnsi="宋体" w:cs="宋体"/>
                <w:kern w:val="0"/>
                <w:sz w:val="20"/>
                <w:szCs w:val="20"/>
              </w:rPr>
              <w:t xml:space="preserve"> 预算数：</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99</w:t>
            </w:r>
            <w:r>
              <w:rPr>
                <w:rFonts w:hint="eastAsia" w:ascii="宋体" w:hAnsi="宋体" w:cs="宋体"/>
                <w:kern w:val="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99</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1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w:t>
            </w:r>
            <w:r>
              <w:rPr>
                <w:rFonts w:hint="eastAsia" w:ascii="宋体" w:hAnsi="宋体" w:cs="宋体"/>
                <w:kern w:val="0"/>
                <w:sz w:val="20"/>
                <w:szCs w:val="20"/>
                <w:lang w:eastAsia="zh-CN"/>
              </w:rPr>
              <w:t>中央</w:t>
            </w:r>
            <w:r>
              <w:rPr>
                <w:rFonts w:hint="eastAsia" w:ascii="宋体" w:hAnsi="宋体" w:cs="宋体"/>
                <w:kern w:val="0"/>
                <w:sz w:val="20"/>
                <w:szCs w:val="20"/>
              </w:rPr>
              <w:t>财政拨款</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自治区财政安排</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1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eastAsia="zh-CN"/>
              </w:rPr>
              <w:t>自治区财政安排</w:t>
            </w:r>
          </w:p>
        </w:tc>
        <w:tc>
          <w:tcPr>
            <w:tcW w:w="183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州财政安排</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p>
        </w:tc>
        <w:tc>
          <w:tcPr>
            <w:tcW w:w="201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州财政安排</w:t>
            </w:r>
          </w:p>
        </w:tc>
        <w:tc>
          <w:tcPr>
            <w:tcW w:w="1837"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县财政配套</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99</w:t>
            </w:r>
          </w:p>
        </w:tc>
        <w:tc>
          <w:tcPr>
            <w:tcW w:w="2010"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lang w:eastAsia="zh-CN"/>
              </w:rPr>
              <w:t>县财政配套</w:t>
            </w:r>
          </w:p>
        </w:tc>
        <w:tc>
          <w:tcPr>
            <w:tcW w:w="1837"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99</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9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p>
        </w:tc>
        <w:tc>
          <w:tcPr>
            <w:tcW w:w="2010"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其他资金</w:t>
            </w:r>
          </w:p>
        </w:tc>
        <w:tc>
          <w:tcPr>
            <w:tcW w:w="1837"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53"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 w:hAnsi="??" w:cs="仿宋_GB2312"/>
                <w:bCs/>
                <w:kern w:val="0"/>
                <w:sz w:val="28"/>
                <w:szCs w:val="28"/>
              </w:rPr>
              <w:t>全部修补完成并投入使用</w:t>
            </w:r>
          </w:p>
        </w:tc>
        <w:tc>
          <w:tcPr>
            <w:tcW w:w="3847"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 w:hAnsi="??" w:cs="仿宋_GB2312"/>
                <w:bCs/>
                <w:kern w:val="0"/>
                <w:sz w:val="28"/>
                <w:szCs w:val="28"/>
              </w:rPr>
              <w:t>全部修补完成并投入使用</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61"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cs="宋体"/>
                <w:kern w:val="0"/>
                <w:sz w:val="20"/>
                <w:szCs w:val="20"/>
              </w:rPr>
              <w:t>修补破损道路</w:t>
            </w:r>
            <w:r>
              <w:rPr>
                <w:rFonts w:hint="eastAsia" w:ascii="宋体" w:cs="宋体"/>
                <w:kern w:val="0"/>
                <w:sz w:val="20"/>
                <w:szCs w:val="20"/>
                <w:lang w:val="en-US" w:eastAsia="zh-CN"/>
              </w:rPr>
              <w:t>6000</w:t>
            </w:r>
            <w:r>
              <w:rPr>
                <w:rFonts w:hint="eastAsia" w:ascii="宋体" w:cs="宋体"/>
                <w:kern w:val="0"/>
                <w:sz w:val="20"/>
                <w:szCs w:val="20"/>
              </w:rPr>
              <w:t>平米</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cs="宋体"/>
                <w:kern w:val="0"/>
                <w:sz w:val="20"/>
                <w:szCs w:val="20"/>
              </w:rPr>
              <w:t>修补破损道路</w:t>
            </w:r>
            <w:r>
              <w:rPr>
                <w:rFonts w:hint="eastAsia" w:ascii="宋体" w:cs="宋体"/>
                <w:kern w:val="0"/>
                <w:sz w:val="20"/>
                <w:szCs w:val="20"/>
                <w:lang w:val="en-US" w:eastAsia="zh-CN"/>
              </w:rPr>
              <w:t>6000</w:t>
            </w:r>
            <w:r>
              <w:rPr>
                <w:rFonts w:hint="eastAsia" w:ascii="宋体" w:cs="宋体"/>
                <w:kern w:val="0"/>
                <w:sz w:val="20"/>
                <w:szCs w:val="20"/>
              </w:rPr>
              <w:t>平米</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完成</w:t>
            </w:r>
            <w:r>
              <w:rPr>
                <w:rFonts w:hint="eastAsia" w:ascii="宋体" w:hAnsi="宋体" w:cs="宋体"/>
                <w:kern w:val="0"/>
                <w:sz w:val="20"/>
                <w:szCs w:val="20"/>
                <w:lang w:val="en-US" w:eastAsia="zh-CN"/>
              </w:rPr>
              <w:t>6000</w:t>
            </w:r>
            <w:r>
              <w:rPr>
                <w:rFonts w:hint="eastAsia" w:ascii="宋体" w:hAnsi="宋体" w:cs="宋体"/>
                <w:kern w:val="0"/>
                <w:sz w:val="20"/>
                <w:szCs w:val="20"/>
              </w:rPr>
              <w:t>平米破损道路修补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验收合格率</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95%</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工期</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w:t>
            </w:r>
            <w:r>
              <w:rPr>
                <w:rFonts w:hint="eastAsia" w:ascii="宋体" w:hAnsi="宋体" w:cs="宋体"/>
                <w:kern w:val="0"/>
                <w:sz w:val="20"/>
                <w:szCs w:val="20"/>
              </w:rPr>
              <w:t>天</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90</w:t>
            </w:r>
            <w:r>
              <w:rPr>
                <w:rFonts w:hint="eastAsia" w:ascii="宋体" w:hAnsi="宋体" w:cs="宋体"/>
                <w:kern w:val="0"/>
                <w:sz w:val="20"/>
                <w:szCs w:val="20"/>
              </w:rPr>
              <w:t>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837" w:type="dxa"/>
            <w:tcBorders>
              <w:top w:val="nil"/>
              <w:left w:val="nil"/>
              <w:bottom w:val="single" w:color="auto" w:sz="4" w:space="0"/>
              <w:right w:val="single" w:color="auto" w:sz="4" w:space="0"/>
            </w:tcBorders>
            <w:shd w:val="clear" w:color="auto" w:fill="auto"/>
            <w:vAlign w:val="center"/>
          </w:tcPr>
          <w:p>
            <w:pPr>
              <w:widowControl/>
              <w:tabs>
                <w:tab w:val="left" w:pos="554"/>
              </w:tabs>
              <w:jc w:val="left"/>
              <w:rPr>
                <w:rFonts w:ascii="宋体" w:hAnsi="宋体" w:cs="宋体"/>
                <w:kern w:val="0"/>
                <w:sz w:val="20"/>
                <w:szCs w:val="20"/>
              </w:rPr>
            </w:pPr>
            <w:r>
              <w:rPr>
                <w:rFonts w:hint="eastAsia" w:ascii="宋体" w:hAnsi="宋体" w:cs="宋体"/>
                <w:kern w:val="0"/>
                <w:sz w:val="20"/>
                <w:szCs w:val="20"/>
              </w:rPr>
              <w:t>　</w:t>
            </w:r>
            <w:r>
              <w:rPr>
                <w:rFonts w:ascii="宋体" w:cs="宋体"/>
                <w:kern w:val="0"/>
                <w:sz w:val="20"/>
                <w:szCs w:val="20"/>
              </w:rPr>
              <w:tab/>
            </w:r>
            <w:r>
              <w:rPr>
                <w:rFonts w:hint="eastAsia" w:ascii="宋体" w:hAnsi="宋体" w:cs="宋体"/>
                <w:kern w:val="0"/>
                <w:sz w:val="20"/>
                <w:szCs w:val="20"/>
              </w:rPr>
              <w:t>完成</w:t>
            </w:r>
            <w:r>
              <w:rPr>
                <w:rFonts w:hint="eastAsia" w:ascii="宋体" w:hAnsi="宋体" w:cs="宋体"/>
                <w:kern w:val="0"/>
                <w:sz w:val="20"/>
                <w:szCs w:val="20"/>
                <w:lang w:val="en-US" w:eastAsia="zh-CN"/>
              </w:rPr>
              <w:t>6000</w:t>
            </w:r>
            <w:r>
              <w:rPr>
                <w:rFonts w:hint="eastAsia" w:ascii="宋体" w:hAnsi="宋体" w:cs="宋体"/>
                <w:kern w:val="0"/>
                <w:sz w:val="20"/>
                <w:szCs w:val="20"/>
              </w:rPr>
              <w:t>平米破损道路修补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设计功能实现率</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提升交通安全情况</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szCs w:val="21"/>
              </w:rPr>
              <w:t>有效改善交通安全状况</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szCs w:val="21"/>
              </w:rPr>
              <w:t>有效改善交通安全状况</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建成后使用时间</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建成后长期使用</w:t>
            </w:r>
          </w:p>
        </w:tc>
        <w:tc>
          <w:tcPr>
            <w:tcW w:w="18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建成后长期使用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61"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39"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0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居民满意度</w:t>
            </w:r>
          </w:p>
        </w:tc>
        <w:tc>
          <w:tcPr>
            <w:tcW w:w="18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95%</w:t>
            </w:r>
          </w:p>
        </w:tc>
      </w:tr>
    </w:tbl>
    <w:p>
      <w:pPr>
        <w:spacing w:line="540" w:lineRule="exact"/>
        <w:rPr>
          <w:rStyle w:val="5"/>
          <w:rFonts w:hint="eastAsia" w:ascii="仿宋" w:hAnsi="仿宋" w:eastAsia="仿宋"/>
          <w:b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314B7"/>
    <w:rsid w:val="03F040AE"/>
    <w:rsid w:val="05886E8B"/>
    <w:rsid w:val="06F80957"/>
    <w:rsid w:val="09300D54"/>
    <w:rsid w:val="0C185596"/>
    <w:rsid w:val="0E2B25C7"/>
    <w:rsid w:val="105D5FE3"/>
    <w:rsid w:val="146C4442"/>
    <w:rsid w:val="187A363A"/>
    <w:rsid w:val="1A9A38FD"/>
    <w:rsid w:val="1D5E7AF8"/>
    <w:rsid w:val="1E512FEF"/>
    <w:rsid w:val="1E8124E4"/>
    <w:rsid w:val="20053734"/>
    <w:rsid w:val="245E79D0"/>
    <w:rsid w:val="27C9042F"/>
    <w:rsid w:val="2AAB2374"/>
    <w:rsid w:val="2C202A46"/>
    <w:rsid w:val="30E62531"/>
    <w:rsid w:val="33A57277"/>
    <w:rsid w:val="344E4617"/>
    <w:rsid w:val="36E6161E"/>
    <w:rsid w:val="37064EE3"/>
    <w:rsid w:val="38BB3F42"/>
    <w:rsid w:val="3AA87626"/>
    <w:rsid w:val="3D50587B"/>
    <w:rsid w:val="42842535"/>
    <w:rsid w:val="43B53C80"/>
    <w:rsid w:val="45BA5C76"/>
    <w:rsid w:val="4717095D"/>
    <w:rsid w:val="48016129"/>
    <w:rsid w:val="4AFA64D9"/>
    <w:rsid w:val="4E435335"/>
    <w:rsid w:val="4E9B0BFF"/>
    <w:rsid w:val="54177B9A"/>
    <w:rsid w:val="541E3820"/>
    <w:rsid w:val="56212123"/>
    <w:rsid w:val="563B340D"/>
    <w:rsid w:val="577E76AD"/>
    <w:rsid w:val="59E32364"/>
    <w:rsid w:val="5BE46B63"/>
    <w:rsid w:val="5BFE505B"/>
    <w:rsid w:val="5C465E4A"/>
    <w:rsid w:val="5C975883"/>
    <w:rsid w:val="5EB46839"/>
    <w:rsid w:val="5FB4116C"/>
    <w:rsid w:val="6043730D"/>
    <w:rsid w:val="61001F0C"/>
    <w:rsid w:val="616600F9"/>
    <w:rsid w:val="62A510E8"/>
    <w:rsid w:val="66EE54A4"/>
    <w:rsid w:val="67F04A72"/>
    <w:rsid w:val="6D4C0146"/>
    <w:rsid w:val="70057682"/>
    <w:rsid w:val="70852589"/>
    <w:rsid w:val="70983D21"/>
    <w:rsid w:val="70C57636"/>
    <w:rsid w:val="72996BB0"/>
    <w:rsid w:val="73BD2312"/>
    <w:rsid w:val="74A55AC5"/>
    <w:rsid w:val="77955176"/>
    <w:rsid w:val="79213441"/>
    <w:rsid w:val="79284371"/>
    <w:rsid w:val="79474503"/>
    <w:rsid w:val="7C8872C9"/>
    <w:rsid w:val="7C921630"/>
    <w:rsid w:val="7DE919D9"/>
    <w:rsid w:val="7FAA02AD"/>
    <w:rsid w:val="7FCA03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character" w:customStyle="1" w:styleId="6">
    <w:name w:val="font31"/>
    <w:basedOn w:val="4"/>
    <w:qFormat/>
    <w:uiPriority w:val="0"/>
    <w:rPr>
      <w:rFonts w:hint="eastAsia" w:ascii="宋体" w:hAnsi="宋体" w:eastAsia="宋体" w:cs="宋体"/>
      <w:b/>
      <w:color w:val="000000"/>
      <w:sz w:val="44"/>
      <w:szCs w:val="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2019-01-28T05:06:00Z</cp:lastPrinted>
  <dcterms:modified xsi:type="dcterms:W3CDTF">2024-03-28T10:48:54Z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