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jc w:val="left"/>
        <w:rPr>
          <w:rFonts w:ascii="仿宋" w:hAnsi="仿宋" w:eastAsia="仿宋" w:cs="宋体"/>
          <w:sz w:val="24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社区矫正</w:t>
      </w:r>
      <w:r>
        <w:rPr>
          <w:rFonts w:hint="eastAsia" w:hAnsi="宋体" w:eastAsia="仿宋_GB2312" w:cs="宋体"/>
          <w:kern w:val="0"/>
          <w:sz w:val="36"/>
          <w:szCs w:val="36"/>
        </w:rPr>
        <w:t>项目资金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实施单位（公章）：玛纳斯县司法局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项目负责人（签章）：李兆曾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 2018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31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after="0"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after="0"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after="0"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玛纳斯县司法局成立于1986年8月，政法专项编制16人，实有在编人员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人，事业编制5人，实有事业在编管理岗人员1人，退休人员17人</w:t>
      </w:r>
    </w:p>
    <w:p>
      <w:pPr>
        <w:spacing w:after="0"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</w:t>
      </w:r>
      <w:r>
        <w:rPr>
          <w:rStyle w:val="18"/>
          <w:rFonts w:hint="default" w:ascii="楷体" w:hAnsi="楷体" w:eastAsia="楷体"/>
          <w:spacing w:val="-4"/>
          <w:sz w:val="32"/>
          <w:szCs w:val="32"/>
          <w:lang w:val="en-US" w:eastAsia="zh-CN"/>
        </w:rPr>
        <w:t>项目基本情况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预算绩效目标设定</w:t>
      </w:r>
      <w:r>
        <w:rPr>
          <w:rStyle w:val="18"/>
          <w:rFonts w:hint="default" w:ascii="楷体" w:hAnsi="楷体" w:eastAsia="楷体"/>
          <w:spacing w:val="-4"/>
          <w:sz w:val="32"/>
          <w:szCs w:val="32"/>
          <w:lang w:val="en-US" w:eastAsia="zh-CN"/>
        </w:rPr>
        <w:t>     </w:t>
      </w:r>
    </w:p>
    <w:p>
      <w:pPr>
        <w:spacing w:after="0"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玛纳斯县司法局社区矫正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经费是列入年初总预算、用于社区矫正的专项经费。根据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自治区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财政厅、司法厅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相关文件要求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，社区矫正经费开支范围包括：</w:t>
      </w:r>
    </w:p>
    <w:p>
      <w:pPr>
        <w:spacing w:after="0"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、司法行政机关社区矫正工作指导管理费。包括社区矫正宣传工作经费，培训经费，表彰奖励费等。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、社区矫正工作经费。包括适用社区矫正调查评估费，档案文书费，对社区矫正人员的监督管理、风险评估、突发事件处置费，组织集中教育、心理矫正、社区服务等活动所发生的资料费、场地费等。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、社区矫正设备费。包括社区矫正人员定位管理设备购置费、档案管理设备费、其他业务装备购置费等。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4、绩效总目标：加大对特殊人群的管理，达到无脱管、无漏管现象，重新犯罪率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为零的目标，助力“平安楼区”建设。     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5、社会效益总目标：围绕县委和政府的中心任务开展工作，促进社会和谐、经济发展、社会文明进步，为维护改革发展稳定的大局服务。</w:t>
      </w:r>
    </w:p>
    <w:p>
      <w:pPr>
        <w:spacing w:after="0"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>（三）绩效评价工作实施过程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1、组织实施：核查201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年度社区矫正项目收入、支出及结余情况；收集整理相关政策法规依据、制度、管理办法或工作细则，相关批文、报告、工作计划、工作总结等；根据具体项目编制绩效评价指标体系；采用问卷调查的方式，对社会公众或服务对象进行满意度调查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    2、分析评价：对核查的会计数据和收集的资料进行整理归纳汇总分析，依据部门项目支出绩效评价指标体系进行评分，形成楼区司法局社区矫正项目支出绩效评价报告。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包括财政资金、自筹资金等）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201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年社区矫正项目资金预算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1 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万元，实际到位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（主要是指财政资金）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项目资金结余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0，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201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年度社区矫正经费实际支出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1.19万元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元。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2018年社区矫正项目资金主要用于支付社区矫正办公费0.69万元、培训费  0.5 万元。</w:t>
      </w:r>
      <w:bookmarkStart w:id="0" w:name="_GoBack"/>
      <w:bookmarkEnd w:id="0"/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全部拨付到位。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（包括管理制度、办法的制定及执行情况）</w:t>
      </w:r>
    </w:p>
    <w:p>
      <w:pPr>
        <w:spacing w:line="540" w:lineRule="exact"/>
        <w:ind w:firstLine="564" w:firstLineChars="181"/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我局根据上级及财政部门要求，根据相关法律规章制度，制定了我局社区矫正项目资金相关制度规定。如，财务管理规定，“三重一大”管理规定，资产管理制度，财务公示制度，财务人员职责等。单位项目资金的使用严格按照各项规章制度执行运转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我局资金使用严格执行司法局各项规章制度，资金落实到位，不拖欠，不做项目外的其他支出。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司法局社区矫正项目资金使用严格执行“三重一大”管理制度，对单位重大支出上党组会讨论严格执行一把手不直接分管财务、由办公室审核把关，分管机关的的副局长签字，保证了财务核算的独立严谨。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四、项目主要绩效情况分析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（将项目支出后的实际状况与申报的绩效目标对比，从项目的经济性、效率性、有益性和可持续性等方面进行量化、具体分析。）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1、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项目产出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1、严格落实社区矫正管理办法，依法开展社区矫正调查评估29例，出具适用意见29例。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2、对社区矫正人员利用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电子脚环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24小时实时监控管理。落实行为规范教育活动方案，推行政府购买心理咨询、教育学习等社会服务；矫正中心全年开展集中教育学习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次，组织开展公益劳动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次，举办由监狱、幸福心理的专家授课的专题培训讲座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10 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次，举行社区矫正监管分析会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15 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次，全面提升了矫正效果。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3、全年累计接收社区服刑人员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657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人，解除矫正人员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595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人。目前尚有社区服刑人员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62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人（其中缓刑人员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61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人、假释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人、监外执行人、管执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0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人），给与警告处分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56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人次，治安处罚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 xml:space="preserve"> 12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人次，撤销缓刑重新收监执行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人次。全区全年无脱管、无漏管，有效地控制了矫正人员重新犯罪的发生。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2、</w:t>
      </w: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项目效果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  <w:t>通过对社区矫正人员管理监督及法制教育，提高了矫正人员的法律意识，减少了再犯罪风险，基本实现了重新犯罪率为零的预期目标，为创建平安楼区，维护社会繁荣稳定作出了成绩。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2018年我局社区矫正项目资金收入支出平衡，无负债，无结余。全部用于我局正常运转、完成司法行政活动和其他日常工作任务。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（如项目绩效目标已完成，可不用填写该部分。）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已完成项目绩效目标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加强资金管理，提高资金使用效率。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存在的问题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：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1、发放调查评估费的依据和标准有待完善。 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2、社区矫正工作经费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要进一步加大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意见和建议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1、</w:t>
      </w:r>
      <w:r>
        <w:rPr>
          <w:rFonts w:hint="default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严格控制社区矫正经费的支出范围，规范支出手续。</w:t>
      </w:r>
    </w:p>
    <w:p>
      <w:pPr>
        <w:spacing w:after="0" w:line="240" w:lineRule="auto"/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2、新疆维吾尔自治区</w:t>
      </w: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财政厅司法厅下发的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新</w:t>
      </w: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财行[201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5</w:t>
      </w: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]72号文件精神，社区矫正经费可用于社区矫正调查评估费。调查评估对象应限于社区矫正人员，调查评估费发放应附有调查对象所属社区（司法所）、调查结果等资料。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、调查评估费的支出方式有待进一步完善。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after="0" w:line="240" w:lineRule="auto"/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根据对项目绩效评价指标体系各项评分指标的分析，评价小组认为，社区矫正项目在项目决策、项目管理方面表现良好。项目绩效方面实现了预期目标。根据对社会公众和服务对象满意度调查问卷的汇总统计分析，该项目取得了良好的社会效益。综合以上情况，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玛纳斯县</w:t>
      </w: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司法局201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8</w:t>
      </w: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年社区矫正项目支出绩效评价评分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9</w:t>
      </w: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8分，等级为“良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好</w:t>
      </w:r>
      <w:r>
        <w:rPr>
          <w:rFonts w:hint="default" w:ascii="仿宋_GB2312" w:eastAsia="仿宋_GB2312"/>
          <w:spacing w:val="-4"/>
          <w:sz w:val="32"/>
          <w:szCs w:val="32"/>
          <w:lang w:val="en-US" w:eastAsia="zh-CN"/>
        </w:rPr>
        <w:t>”。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after="0" w:line="240" w:lineRule="auto"/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根据玛党财会议纪要精神，严格落实资金使用。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》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</w:p>
    <w:tbl>
      <w:tblPr>
        <w:tblStyle w:val="20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社区矫正</w:t>
            </w:r>
            <w:r>
              <w:rPr>
                <w:rFonts w:hint="eastAsia"/>
                <w:sz w:val="16"/>
                <w:szCs w:val="16"/>
              </w:rPr>
              <w:t>项目资金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玛纳斯县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1.19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1.19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1.19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1.19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通过对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社区矫正项目支出的绩效评价，了解该项目资金的收入、支出、管理和使用情况，考核该项目资金投入是否达到预期目标，为财政部门提供决策依据，提供财政资金的使用效率。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过对社区矫正人员管理监督及法制教育，提高了矫正人员的法律意识，减少了再犯罪风险，基本实现了重新犯罪率为零的预期目标，为创建平安楼区，维护社会繁荣稳定作出了成绩。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700</w:t>
            </w:r>
            <w:r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657</w:t>
            </w:r>
            <w:r>
              <w:rPr>
                <w:rFonts w:hint="eastAsia"/>
                <w:sz w:val="20"/>
                <w:szCs w:val="20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00" w:firstLineChars="500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人员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≧</w:t>
            </w:r>
            <w:r>
              <w:rPr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00" w:firstLineChars="500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人员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≦</w:t>
            </w:r>
            <w:r>
              <w:rPr>
                <w:sz w:val="20"/>
                <w:szCs w:val="20"/>
              </w:rPr>
              <w:t>0.5%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开始时间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结束时间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31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31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社区矫正</w:t>
            </w:r>
            <w:r>
              <w:rPr>
                <w:rFonts w:hint="eastAsia"/>
                <w:sz w:val="20"/>
                <w:szCs w:val="20"/>
              </w:rPr>
              <w:t>案件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50元/</w:t>
            </w:r>
            <w:r>
              <w:rPr>
                <w:rFonts w:hint="eastAsia"/>
                <w:sz w:val="20"/>
                <w:szCs w:val="20"/>
              </w:rPr>
              <w:t>件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sz w:val="20"/>
                <w:szCs w:val="20"/>
                <w:lang w:eastAsia="zh-CN"/>
              </w:rPr>
              <w:t>社区矫正</w:t>
            </w:r>
            <w:r>
              <w:rPr>
                <w:rFonts w:hint="eastAsia"/>
                <w:sz w:val="20"/>
                <w:szCs w:val="20"/>
              </w:rPr>
              <w:t>案件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社区矫正人数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sz w:val="20"/>
                <w:szCs w:val="20"/>
                <w:lang w:eastAsia="zh-CN"/>
              </w:rPr>
              <w:t>社区矫正人数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85%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85%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sz w:val="20"/>
                <w:szCs w:val="20"/>
                <w:lang w:eastAsia="zh-CN"/>
              </w:rPr>
              <w:t>社区矫正人数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85%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85%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sz w:val="20"/>
                <w:szCs w:val="20"/>
                <w:lang w:eastAsia="zh-CN"/>
              </w:rPr>
              <w:t>社区矫正人数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85%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85%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26351"/>
    <w:rsid w:val="00056465"/>
    <w:rsid w:val="000B693B"/>
    <w:rsid w:val="000E443C"/>
    <w:rsid w:val="001029BE"/>
    <w:rsid w:val="00121AE4"/>
    <w:rsid w:val="00135BA7"/>
    <w:rsid w:val="00144BA9"/>
    <w:rsid w:val="00146AAD"/>
    <w:rsid w:val="001551F1"/>
    <w:rsid w:val="00161CA4"/>
    <w:rsid w:val="001B1B66"/>
    <w:rsid w:val="001B3A40"/>
    <w:rsid w:val="001D0E90"/>
    <w:rsid w:val="002E63F8"/>
    <w:rsid w:val="003309BE"/>
    <w:rsid w:val="0035749A"/>
    <w:rsid w:val="00357F6A"/>
    <w:rsid w:val="003717F2"/>
    <w:rsid w:val="003C18BC"/>
    <w:rsid w:val="004366A8"/>
    <w:rsid w:val="00464900"/>
    <w:rsid w:val="00477FAA"/>
    <w:rsid w:val="00502BA7"/>
    <w:rsid w:val="005162F1"/>
    <w:rsid w:val="00525DD9"/>
    <w:rsid w:val="00535153"/>
    <w:rsid w:val="00542434"/>
    <w:rsid w:val="00554F82"/>
    <w:rsid w:val="005575A3"/>
    <w:rsid w:val="0056390D"/>
    <w:rsid w:val="005719B0"/>
    <w:rsid w:val="005D10D6"/>
    <w:rsid w:val="00677944"/>
    <w:rsid w:val="006E4897"/>
    <w:rsid w:val="0076317B"/>
    <w:rsid w:val="007806A5"/>
    <w:rsid w:val="007D1D4C"/>
    <w:rsid w:val="00820C84"/>
    <w:rsid w:val="00855E3A"/>
    <w:rsid w:val="00922CB9"/>
    <w:rsid w:val="009263C2"/>
    <w:rsid w:val="009B1EC9"/>
    <w:rsid w:val="009B44B0"/>
    <w:rsid w:val="009C4359"/>
    <w:rsid w:val="009E5CD9"/>
    <w:rsid w:val="009E7634"/>
    <w:rsid w:val="00A26421"/>
    <w:rsid w:val="00A337BA"/>
    <w:rsid w:val="00A4293B"/>
    <w:rsid w:val="00A65F0B"/>
    <w:rsid w:val="00A67D50"/>
    <w:rsid w:val="00A8691A"/>
    <w:rsid w:val="00AC1946"/>
    <w:rsid w:val="00B40063"/>
    <w:rsid w:val="00B41F61"/>
    <w:rsid w:val="00B605FA"/>
    <w:rsid w:val="00B93E27"/>
    <w:rsid w:val="00BA46E6"/>
    <w:rsid w:val="00C363EB"/>
    <w:rsid w:val="00C56C72"/>
    <w:rsid w:val="00CA6457"/>
    <w:rsid w:val="00D17F2E"/>
    <w:rsid w:val="00D30354"/>
    <w:rsid w:val="00D37A4C"/>
    <w:rsid w:val="00DF42A0"/>
    <w:rsid w:val="00E160F1"/>
    <w:rsid w:val="00E46C51"/>
    <w:rsid w:val="00E536C8"/>
    <w:rsid w:val="00E57AAC"/>
    <w:rsid w:val="00E769FE"/>
    <w:rsid w:val="00EA2CBE"/>
    <w:rsid w:val="00ED0D99"/>
    <w:rsid w:val="00F32FEE"/>
    <w:rsid w:val="00F61471"/>
    <w:rsid w:val="00F64C4E"/>
    <w:rsid w:val="00FB10BB"/>
    <w:rsid w:val="08FD25C7"/>
    <w:rsid w:val="0C333611"/>
    <w:rsid w:val="0E2E2879"/>
    <w:rsid w:val="0F67305F"/>
    <w:rsid w:val="14552232"/>
    <w:rsid w:val="177B341E"/>
    <w:rsid w:val="1D194524"/>
    <w:rsid w:val="24DC3E6E"/>
    <w:rsid w:val="296D1AE3"/>
    <w:rsid w:val="349F0824"/>
    <w:rsid w:val="35384169"/>
    <w:rsid w:val="37F75981"/>
    <w:rsid w:val="40424331"/>
    <w:rsid w:val="475104F1"/>
    <w:rsid w:val="529D2AD7"/>
    <w:rsid w:val="553C40C4"/>
    <w:rsid w:val="58753EB6"/>
    <w:rsid w:val="58F748CA"/>
    <w:rsid w:val="63C42FF6"/>
    <w:rsid w:val="6B5850D1"/>
    <w:rsid w:val="6B61253B"/>
    <w:rsid w:val="6D9F780C"/>
    <w:rsid w:val="745136FC"/>
    <w:rsid w:val="792454EC"/>
    <w:rsid w:val="7BA8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basedOn w:val="17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basedOn w:val="17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basedOn w:val="17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basedOn w:val="17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basedOn w:val="17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basedOn w:val="17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basedOn w:val="17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basedOn w:val="17"/>
    <w:link w:val="37"/>
    <w:qFormat/>
    <w:locked/>
    <w:uiPriority w:val="99"/>
    <w:rPr>
      <w:rFonts w:cs="Times New Roman"/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basedOn w:val="17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basedOn w:val="17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basedOn w:val="17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basedOn w:val="17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basedOn w:val="17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372</Words>
  <Characters>2124</Characters>
  <Lines>17</Lines>
  <Paragraphs>4</Paragraphs>
  <TotalTime>0</TotalTime>
  <ScaleCrop>false</ScaleCrop>
  <LinksUpToDate>false</LinksUpToDate>
  <CharactersWithSpaces>2492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得瑟得瑟</cp:lastModifiedBy>
  <cp:lastPrinted>2019-01-13T12:20:00Z</cp:lastPrinted>
  <dcterms:modified xsi:type="dcterms:W3CDTF">2019-02-20T11:13:45Z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