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宋体" w:hAnsi="宋体" w:eastAsia="宋体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</w:t>
      </w: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 项目名称：2018年第二批财政专项扶贫资金项目服务费</w:t>
      </w:r>
    </w:p>
    <w:p>
      <w:pPr>
        <w:spacing w:line="700" w:lineRule="exact"/>
        <w:jc w:val="left"/>
        <w:rPr>
          <w:rFonts w:hint="eastAsia"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     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6"/>
          <w:szCs w:val="36"/>
        </w:rPr>
        <w:t>实施单位（公章）：玛纳斯县</w:t>
      </w:r>
      <w:r>
        <w:rPr>
          <w:rFonts w:hint="eastAsia" w:ascii="宋体" w:hAnsi="宋体" w:eastAsia="宋体" w:cs="宋体"/>
          <w:kern w:val="0"/>
          <w:sz w:val="36"/>
          <w:szCs w:val="36"/>
          <w:lang w:eastAsia="zh-CN"/>
        </w:rPr>
        <w:t>委统战部</w:t>
      </w:r>
    </w:p>
    <w:p>
      <w:pPr>
        <w:spacing w:line="700" w:lineRule="exact"/>
        <w:ind w:firstLine="1080" w:firstLineChars="300"/>
        <w:jc w:val="left"/>
        <w:rPr>
          <w:rFonts w:hint="eastAsia" w:ascii="宋体" w:hAnsi="宋体" w:eastAsia="宋体" w:cs="宋体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>主管部门（公章）：玛纳斯县</w:t>
      </w:r>
      <w:r>
        <w:rPr>
          <w:rFonts w:hint="eastAsia" w:ascii="宋体" w:hAnsi="宋体" w:eastAsia="宋体" w:cs="宋体"/>
          <w:kern w:val="0"/>
          <w:sz w:val="36"/>
          <w:szCs w:val="36"/>
          <w:lang w:eastAsia="zh-CN"/>
        </w:rPr>
        <w:t>委统战部</w:t>
      </w:r>
    </w:p>
    <w:p>
      <w:pPr>
        <w:spacing w:line="700" w:lineRule="exact"/>
        <w:ind w:firstLine="1080" w:firstLineChars="300"/>
        <w:jc w:val="left"/>
        <w:rPr>
          <w:rFonts w:hint="eastAsia" w:ascii="宋体" w:hAnsi="宋体" w:eastAsia="宋体" w:cs="宋体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>项目负责人（签章）：</w:t>
      </w:r>
      <w:r>
        <w:rPr>
          <w:rFonts w:hint="eastAsia" w:ascii="宋体" w:hAnsi="宋体" w:eastAsia="宋体" w:cs="宋体"/>
          <w:kern w:val="0"/>
          <w:sz w:val="36"/>
          <w:szCs w:val="36"/>
          <w:lang w:eastAsia="zh-CN"/>
        </w:rPr>
        <w:t>曹勇</w:t>
      </w:r>
    </w:p>
    <w:p>
      <w:pPr>
        <w:spacing w:line="700" w:lineRule="exact"/>
        <w:ind w:firstLine="1080" w:firstLineChars="300"/>
        <w:jc w:val="left"/>
        <w:rPr>
          <w:rFonts w:hint="eastAsia"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填报时间： 2019  年 2 月 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/>
          <w:bCs w:val="0"/>
          <w:spacing w:val="-4"/>
          <w:sz w:val="32"/>
          <w:szCs w:val="32"/>
        </w:rPr>
        <w:t>一、</w:t>
      </w: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项目概况</w:t>
      </w:r>
    </w:p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（一）项目单位基本情况</w:t>
      </w:r>
    </w:p>
    <w:p>
      <w:pPr>
        <w:spacing w:after="0" w:line="240" w:lineRule="auto"/>
        <w:ind w:firstLine="627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  <w:t>1、单位职能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：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（1）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贯彻执行党中央、国务院和区、州党委、人民政府关于民族和宗教工作的方针、政策，当好县委、县人民政府关于民族宗教工作方面的参谋助手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。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（2）参与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制定本县少数民族经济发展的政策和规划，</w:t>
      </w:r>
      <w:bookmarkStart w:id="0" w:name="_GoBack"/>
      <w:bookmarkEnd w:id="0"/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研究提出少数民族经济发展的特殊政策和措施；组织调查研究农牧区、贫困地区少数民族经济发展中的有关问题，配合并承办扶贫事宜；会同有关部门管理少数民族发展的专项资金和项目选报工作。</w:t>
      </w:r>
    </w:p>
    <w:p>
      <w:pPr>
        <w:spacing w:after="0" w:line="240" w:lineRule="auto"/>
        <w:ind w:firstLine="627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2、人员情况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：玛纳斯县委统战部核定编制数为15人，其中：行政编制8人，事业编制4人，工勤编制2人。</w:t>
      </w:r>
    </w:p>
    <w:p>
      <w:pPr>
        <w:spacing w:after="0" w:line="240" w:lineRule="auto"/>
        <w:ind w:firstLine="627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3、机构设置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：玛纳斯县委统战部属行政单位，机构规格相当科级，是独立编制和核算机构。玛纳斯县委统战部下属2个事业单位，分别是驻村管寺办、一家亲办。统战部分3个科室：综合办、驻村管寺办、一家亲办。</w:t>
      </w:r>
    </w:p>
    <w:p>
      <w:pPr>
        <w:spacing w:line="540" w:lineRule="exact"/>
        <w:ind w:firstLine="627" w:firstLineChars="200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（二）项目预算绩效目标设定情况</w:t>
      </w:r>
    </w:p>
    <w:p>
      <w:pPr>
        <w:spacing w:after="0" w:line="240" w:lineRule="auto"/>
        <w:ind w:firstLine="624" w:firstLineChars="200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该项目属于前期费用项目，主要用于项目规划编制、项目库建设、项目管理与培训、项目公示；资金报账管理等方面开支。主要内容：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旱卡子滩乡加尔苏瓦提村购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买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41峰骆驼，委托日发集团饲养，收入持续给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该村低收入家庭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分红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。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清水河乡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牙湖村新建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300㎡10栋暖圈，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改善牧民生产条件，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促进了少数民族群众大力发展畜牧养殖业，确保持续增收。</w:t>
      </w:r>
    </w:p>
    <w:p>
      <w:pPr>
        <w:spacing w:after="0" w:line="240" w:lineRule="auto"/>
        <w:ind w:firstLine="624" w:firstLineChars="200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项目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共设置一级指标2个、二级指标6个、三级指标11个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三级指标可量化10个，占比91%，具体是：建设暖圈10个、面积300平方米、购买41峰骆驼、年龄小于12岁、工程验收合格率100%、工程按期完成率100%、项目成本建设暖圈50万元、购买骆驼30万元，群众满意率100%。</w:t>
      </w:r>
    </w:p>
    <w:p>
      <w:pPr>
        <w:spacing w:line="540" w:lineRule="exact"/>
        <w:ind w:firstLine="640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（一）项目资金安排落实、总投入等情况分析</w:t>
      </w:r>
    </w:p>
    <w:p>
      <w:pPr>
        <w:spacing w:after="0" w:line="240" w:lineRule="auto"/>
        <w:ind w:firstLine="624" w:firstLineChars="200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该项目资金总投入0.8万元，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中央财政安排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资金0.8万元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，资金已全部到位，到位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率100%。</w:t>
      </w:r>
    </w:p>
    <w:p>
      <w:pPr>
        <w:spacing w:line="540" w:lineRule="exact"/>
        <w:ind w:firstLine="567" w:firstLineChars="181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（二）项目资金实际使用情况分析</w:t>
      </w:r>
    </w:p>
    <w:p>
      <w:pPr>
        <w:spacing w:after="0" w:line="240" w:lineRule="auto"/>
        <w:ind w:firstLine="624" w:firstLineChars="200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该项目资金总投入0.8万元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，目前已支付0.8万元，结余资金0万元，资金使用完成率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100%。</w:t>
      </w:r>
    </w:p>
    <w:p>
      <w:pPr>
        <w:spacing w:line="540" w:lineRule="exact"/>
        <w:ind w:firstLine="567" w:firstLineChars="181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（三）项目资金管理情况分析</w:t>
      </w:r>
    </w:p>
    <w:p>
      <w:pPr>
        <w:spacing w:after="0" w:line="240" w:lineRule="auto"/>
        <w:ind w:firstLine="624" w:firstLineChars="200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该项目由玛纳斯县委统战部组织实施，在项目实施过程中，一是认真填写《玛纳斯县财政专项资金审批表》上报县政府及相关部门审批；二是根据《玛纳斯县财政专项资金审批表》核算项目资金，并按照《玛纳斯县财政专项资金管理办法》、《玛纳斯县政府采购资金管理办法》等办法对项目资金实行专款专用，按照谁主管、谁负责的原则，明确项目管理和实施的具体责任；三是项目资金全部实行国库集中支付管理；四是项目资金无截流、滞留、违规抵扣等现象。</w:t>
      </w:r>
    </w:p>
    <w:p>
      <w:pPr>
        <w:spacing w:line="540" w:lineRule="exact"/>
        <w:ind w:firstLine="640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（一）项目组织情况分析</w:t>
      </w:r>
    </w:p>
    <w:p>
      <w:pPr>
        <w:spacing w:after="0" w:line="240" w:lineRule="auto"/>
        <w:ind w:firstLine="624" w:firstLineChars="200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项目资金主要用于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旱卡子滩乡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加尔苏瓦提村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购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买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骆驼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项目和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清水河乡建设暖圈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项目前期规划编制、项目管理与培训使用，两个项目均按期完成，并组织相关人员参与验收，验收全部合格，合格率达100%。</w:t>
      </w:r>
    </w:p>
    <w:p>
      <w:pPr>
        <w:spacing w:line="540" w:lineRule="exact"/>
        <w:ind w:firstLine="567" w:firstLineChars="181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</w:pPr>
      <w:r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  <w:t>该项目经过区、州民宗委等相关部门批准后实施，在项目实施过程中严格按照《新疆维吾尔自治区少数民族发展资金管理和使用办法》《新疆维吾尔自治区财政专项扶贫资金管理办法》等相关法律法规执行，项目资金专款专用，专人负责，项目的实施遵守相关法律法规和业务管理规定，项目资料齐全并及时归档，不定期对项目进行督导检查，对检查过程中发现的问题及时督促整改，确保了项目按时保质完成。</w:t>
      </w:r>
    </w:p>
    <w:p>
      <w:pPr>
        <w:spacing w:line="540" w:lineRule="exact"/>
        <w:ind w:firstLine="567" w:firstLineChars="181"/>
        <w:rPr>
          <w:rStyle w:val="18"/>
          <w:rFonts w:hint="eastAsia" w:ascii="宋体" w:hAnsi="宋体" w:cs="宋体"/>
          <w:b/>
          <w:bCs/>
          <w:spacing w:val="-4"/>
          <w:kern w:val="2"/>
          <w:sz w:val="32"/>
          <w:szCs w:val="32"/>
          <w:lang w:val="en-US" w:eastAsia="zh-CN" w:bidi="ar"/>
        </w:rPr>
      </w:pPr>
      <w:r>
        <w:rPr>
          <w:rStyle w:val="18"/>
          <w:rFonts w:hint="eastAsia" w:ascii="宋体" w:hAnsi="宋体" w:cs="宋体"/>
          <w:b/>
          <w:bCs/>
          <w:spacing w:val="-4"/>
          <w:kern w:val="2"/>
          <w:sz w:val="32"/>
          <w:szCs w:val="32"/>
          <w:lang w:val="en-US" w:eastAsia="zh-CN" w:bidi="ar"/>
        </w:rPr>
        <w:t>四、项目绩效情况</w:t>
      </w:r>
    </w:p>
    <w:p>
      <w:pPr>
        <w:spacing w:line="540" w:lineRule="exact"/>
        <w:ind w:firstLine="567" w:firstLineChars="181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本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项目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共设置一级指标2个、二级指标6个、三级指标11个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其中已完成三级指标11个，指标完成率100%。</w:t>
      </w:r>
    </w:p>
    <w:p>
      <w:pPr>
        <w:spacing w:line="540" w:lineRule="exact"/>
        <w:ind w:firstLine="627" w:firstLineChars="200"/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1、产出指标</w:t>
      </w: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  <w:t>完成情况</w:t>
      </w: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分析</w:t>
      </w: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  <w:t>：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（1）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项目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完成数量。该项目购买骆驼41峰，修建暖圈10栋，已全部按项目绩效目标申报设定数量完成，完成率100%。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（2）项目完成质量。该项目预计验收合格率100%,实际通过验收的工程量占建设总量的比率为100%。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（3）项目完成时效。按期完成的工程量占总工程量的比率100%。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（4）项目完成成本。该项目资金主要用于项目规划编制、项目库建设、项目管理与培训、项目公示，实际按照绩效目标申报完成任务。</w:t>
      </w:r>
    </w:p>
    <w:p>
      <w:pPr>
        <w:spacing w:line="540" w:lineRule="exact"/>
        <w:ind w:firstLine="627" w:firstLineChars="200"/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2、效益指标完成情况分析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（1）项目实施的经济效益分析。通过项目的实施，提高了农牧民群众的收入。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（2）项目实施的社会效益分析。通过项目的实施，改善了牧区生产生活条件，助推乡村振兴建设。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（3）项目实施的生态效益指标分析。该项目符合环保测评。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（4）项目实施的可持续影响分析。通过项目的实施，降低环境污染率、优化环境。</w:t>
      </w:r>
    </w:p>
    <w:p>
      <w:pPr>
        <w:spacing w:line="540" w:lineRule="exact"/>
        <w:ind w:firstLine="627" w:firstLineChars="200"/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3、满意度指标完成情况分析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该项目指标已全部完成，满意和较满意的人数占全部调查人数的比率为100%。</w:t>
      </w:r>
    </w:p>
    <w:p>
      <w:pPr>
        <w:spacing w:line="540" w:lineRule="exact"/>
        <w:ind w:firstLine="567" w:firstLineChars="181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该项目已完成所有设定的绩效目标任务，完成率100%，不存在未完成目标值情况。</w:t>
      </w:r>
    </w:p>
    <w:p>
      <w:pPr>
        <w:spacing w:line="540" w:lineRule="exact"/>
        <w:ind w:firstLine="640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（一）后续工作计划</w:t>
      </w:r>
    </w:p>
    <w:p>
      <w:pPr>
        <w:spacing w:line="520" w:lineRule="exact"/>
        <w:ind w:firstLine="611" w:firstLineChars="196"/>
        <w:jc w:val="left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一是对项目加强管理；二是制定完善的项目管理制度，有效保障项目高效运行；三是加强对项目执行的考核，包括实时跟踪监控机制、验收机制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567" w:firstLineChars="181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（二）主要经验及做法、存在问题和建议</w:t>
      </w:r>
    </w:p>
    <w:p>
      <w:pPr>
        <w:spacing w:after="0" w:line="240" w:lineRule="auto"/>
        <w:ind w:firstLine="627" w:firstLineChars="200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  <w:t>主要经验及做法：</w:t>
      </w: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玛纳斯县委统战部在项目管理费使用上，严格按照项目资金管理办法执行。在财务管理、资金拨付和账户管理等方面采取了国库集中支付管理。项目资金支付不存在滞留、挤占、截留、挪用项目资金等违规违法问题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</w:p>
    <w:p>
      <w:pPr>
        <w:pStyle w:val="15"/>
        <w:spacing w:before="0" w:beforeAutospacing="0" w:after="0" w:afterAutospacing="0" w:line="540" w:lineRule="exact"/>
        <w:ind w:firstLine="627" w:firstLineChars="200"/>
        <w:jc w:val="both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kern w:val="2"/>
          <w:sz w:val="32"/>
          <w:szCs w:val="32"/>
          <w:lang w:val="en-US" w:eastAsia="zh-CN" w:bidi="ar"/>
        </w:rPr>
        <w:t>存在问题</w:t>
      </w:r>
      <w:r>
        <w:rPr>
          <w:rFonts w:hint="eastAsia" w:ascii="宋体" w:hAnsi="宋体" w:cs="宋体"/>
          <w:b/>
          <w:bCs/>
          <w:spacing w:val="-4"/>
          <w:kern w:val="2"/>
          <w:sz w:val="32"/>
          <w:szCs w:val="32"/>
          <w:lang w:val="en-US" w:eastAsia="zh-CN" w:bidi="ar"/>
        </w:rPr>
        <w:t>及建议</w:t>
      </w:r>
      <w:r>
        <w:rPr>
          <w:rFonts w:hint="eastAsia" w:ascii="宋体" w:hAnsi="宋体" w:eastAsia="宋体" w:cs="宋体"/>
          <w:spacing w:val="-4"/>
          <w:kern w:val="2"/>
          <w:sz w:val="32"/>
          <w:szCs w:val="32"/>
          <w:lang w:val="en-US" w:eastAsia="zh-CN" w:bidi="ar"/>
        </w:rPr>
        <w:t>：</w:t>
      </w:r>
      <w:r>
        <w:rPr>
          <w:rStyle w:val="18"/>
          <w:rFonts w:hint="eastAsia" w:ascii="宋体" w:hAnsi="宋体" w:cs="宋体"/>
          <w:b w:val="0"/>
          <w:spacing w:val="-4"/>
          <w:kern w:val="2"/>
          <w:sz w:val="32"/>
          <w:szCs w:val="32"/>
          <w:lang w:val="en-US" w:eastAsia="zh-CN"/>
        </w:rPr>
        <w:t>一是加强项目资金的管理自觉接受审计部门的监督，杜绝挤占、截留、挪用现金的发生，提高资金使用效益。二是加大资金的投入使用，确保项目顺利实施完毕</w:t>
      </w:r>
      <w:r>
        <w:rPr>
          <w:rStyle w:val="18"/>
          <w:rFonts w:hint="eastAsia" w:ascii="宋体" w:hAnsi="宋体" w:eastAsia="宋体" w:cs="宋体"/>
          <w:b w:val="0"/>
          <w:spacing w:val="-4"/>
          <w:kern w:val="2"/>
          <w:sz w:val="32"/>
          <w:szCs w:val="32"/>
          <w:lang w:val="en-US" w:eastAsia="zh-CN"/>
        </w:rPr>
        <w:t>。</w:t>
      </w:r>
      <w:r>
        <w:rPr>
          <w:rStyle w:val="18"/>
          <w:rFonts w:hint="eastAsia" w:ascii="宋体" w:hAnsi="宋体" w:cs="宋体"/>
          <w:b w:val="0"/>
          <w:spacing w:val="-4"/>
          <w:kern w:val="2"/>
          <w:sz w:val="32"/>
          <w:szCs w:val="32"/>
          <w:lang w:val="en-US" w:eastAsia="zh-CN"/>
        </w:rPr>
        <w:t>三是加强项目绩效监控的管理。</w:t>
      </w:r>
    </w:p>
    <w:p>
      <w:pPr>
        <w:spacing w:line="540" w:lineRule="exact"/>
        <w:ind w:firstLine="640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六、项目评价工作情况</w:t>
      </w:r>
    </w:p>
    <w:p>
      <w:pPr>
        <w:spacing w:after="0" w:line="240" w:lineRule="auto"/>
        <w:ind w:firstLine="624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经综合评价，本项目实施达到预期指标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基础数据资料收集、来源和依据等佐证材料齐全完备、现场勘验检查核实与实际情况一致。资金管理由下而上、层层把关，使用、管理、保障到位。资金管理制度、项目管理制度完善，综合评价得分为98分。</w:t>
      </w:r>
    </w:p>
    <w:p>
      <w:pPr>
        <w:spacing w:after="0" w:line="240" w:lineRule="auto"/>
        <w:ind w:firstLine="624" w:firstLineChars="200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通过项目工程的实施，可以改善农牧区生产生活条件，可促进项目区经济的良性循环，使项目区取得显著的社会经济效益和生态环境效益，促进玛纳斯县可持续、快速发展</w:t>
      </w:r>
    </w:p>
    <w:p>
      <w:pPr>
        <w:spacing w:line="540" w:lineRule="exact"/>
        <w:ind w:firstLine="640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七、附表</w:t>
      </w:r>
    </w:p>
    <w:p>
      <w:pPr>
        <w:spacing w:line="520" w:lineRule="exact"/>
        <w:ind w:firstLine="611" w:firstLineChars="196"/>
        <w:jc w:val="left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《项目支出绩效自评表》</w:t>
      </w:r>
    </w:p>
    <w:p>
      <w:pPr>
        <w:spacing w:line="540" w:lineRule="exact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tbl>
      <w:tblPr>
        <w:tblStyle w:val="20"/>
        <w:tblpPr w:leftFromText="180" w:rightFromText="180" w:vertAnchor="text" w:horzAnchor="page" w:tblpX="1120" w:tblpY="257"/>
        <w:tblOverlap w:val="never"/>
        <w:tblW w:w="108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48"/>
        <w:gridCol w:w="92"/>
        <w:gridCol w:w="1208"/>
        <w:gridCol w:w="152"/>
        <w:gridCol w:w="1080"/>
        <w:gridCol w:w="880"/>
        <w:gridCol w:w="121"/>
        <w:gridCol w:w="1939"/>
        <w:gridCol w:w="2094"/>
        <w:gridCol w:w="15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05" w:hRule="atLeast"/>
        </w:trPr>
        <w:tc>
          <w:tcPr>
            <w:tcW w:w="93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285" w:hRule="atLeast"/>
        </w:trPr>
        <w:tc>
          <w:tcPr>
            <w:tcW w:w="93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20" w:hRule="atLeast"/>
        </w:trPr>
        <w:tc>
          <w:tcPr>
            <w:tcW w:w="93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2018年第二批财政专项扶贫资金项目服务费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35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1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玛纳斯县委统战部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0.8万元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0.8万元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0.8万元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0.8万元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100%完成项目管理工作</w:t>
            </w:r>
          </w:p>
        </w:tc>
        <w:tc>
          <w:tcPr>
            <w:tcW w:w="4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100%完成项目管理工作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指标1：建设暖圈个数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指标2：暖圈建设面积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300㎡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300㎡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指标1：购买骆驼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峰数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指标2：骆驼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≦12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≦12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工程验收合格率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200" w:firstLineChars="1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时效指标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工程按期完工率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骆驼购置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30万元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暖圈人均补贴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5万/户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5万/户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暖圈建设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50万元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经济效益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每年服务人群人均增收（骆驼）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1500元/年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55" w:type="dxa"/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受益群众满意度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2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</w:tr>
    </w:tbl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24AD2"/>
    <w:rsid w:val="00056465"/>
    <w:rsid w:val="00121AE4"/>
    <w:rsid w:val="00146AAD"/>
    <w:rsid w:val="00196268"/>
    <w:rsid w:val="001B3A40"/>
    <w:rsid w:val="00221589"/>
    <w:rsid w:val="00250952"/>
    <w:rsid w:val="003B3868"/>
    <w:rsid w:val="003B6AE9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82CBE"/>
    <w:rsid w:val="00583A87"/>
    <w:rsid w:val="005D10D6"/>
    <w:rsid w:val="00635554"/>
    <w:rsid w:val="00657766"/>
    <w:rsid w:val="007806A5"/>
    <w:rsid w:val="007911D8"/>
    <w:rsid w:val="0079121D"/>
    <w:rsid w:val="00855E3A"/>
    <w:rsid w:val="00864BD3"/>
    <w:rsid w:val="00922CB9"/>
    <w:rsid w:val="009444BC"/>
    <w:rsid w:val="009B017D"/>
    <w:rsid w:val="009E5CD9"/>
    <w:rsid w:val="00A26421"/>
    <w:rsid w:val="00A4293B"/>
    <w:rsid w:val="00A64FB9"/>
    <w:rsid w:val="00A67D50"/>
    <w:rsid w:val="00A8691A"/>
    <w:rsid w:val="00AC0BF3"/>
    <w:rsid w:val="00AC1946"/>
    <w:rsid w:val="00B40063"/>
    <w:rsid w:val="00B41F61"/>
    <w:rsid w:val="00B669BE"/>
    <w:rsid w:val="00B97D33"/>
    <w:rsid w:val="00BA46E6"/>
    <w:rsid w:val="00C26C87"/>
    <w:rsid w:val="00C56C72"/>
    <w:rsid w:val="00C87939"/>
    <w:rsid w:val="00CA1A2D"/>
    <w:rsid w:val="00CA6457"/>
    <w:rsid w:val="00CC022E"/>
    <w:rsid w:val="00D17F2E"/>
    <w:rsid w:val="00D30354"/>
    <w:rsid w:val="00D37382"/>
    <w:rsid w:val="00DC70A0"/>
    <w:rsid w:val="00DF42A0"/>
    <w:rsid w:val="00E037AB"/>
    <w:rsid w:val="00E054FE"/>
    <w:rsid w:val="00E46C51"/>
    <w:rsid w:val="00E769FE"/>
    <w:rsid w:val="00E76F2A"/>
    <w:rsid w:val="00E96E32"/>
    <w:rsid w:val="00EA2CBE"/>
    <w:rsid w:val="00F32FEE"/>
    <w:rsid w:val="00F91711"/>
    <w:rsid w:val="00FB10BB"/>
    <w:rsid w:val="031F0185"/>
    <w:rsid w:val="041F1080"/>
    <w:rsid w:val="05942F8E"/>
    <w:rsid w:val="059F70DF"/>
    <w:rsid w:val="06B10185"/>
    <w:rsid w:val="070452D5"/>
    <w:rsid w:val="074B284F"/>
    <w:rsid w:val="08435628"/>
    <w:rsid w:val="08784E43"/>
    <w:rsid w:val="12A33A10"/>
    <w:rsid w:val="15BA4910"/>
    <w:rsid w:val="178C31AD"/>
    <w:rsid w:val="1A0B5AA8"/>
    <w:rsid w:val="1A2D360B"/>
    <w:rsid w:val="1F3F24B2"/>
    <w:rsid w:val="207B0A12"/>
    <w:rsid w:val="240B0B14"/>
    <w:rsid w:val="24D46C44"/>
    <w:rsid w:val="2A3304F1"/>
    <w:rsid w:val="2B8802BD"/>
    <w:rsid w:val="2E4D2088"/>
    <w:rsid w:val="2FB53DC5"/>
    <w:rsid w:val="336F6A45"/>
    <w:rsid w:val="33CB325C"/>
    <w:rsid w:val="33DC55BE"/>
    <w:rsid w:val="34413C67"/>
    <w:rsid w:val="364C62E7"/>
    <w:rsid w:val="38C7457E"/>
    <w:rsid w:val="3ADF64AC"/>
    <w:rsid w:val="3C1E4BE6"/>
    <w:rsid w:val="3EA2607C"/>
    <w:rsid w:val="405457D7"/>
    <w:rsid w:val="4064673C"/>
    <w:rsid w:val="4772357E"/>
    <w:rsid w:val="48626103"/>
    <w:rsid w:val="4C0A7C08"/>
    <w:rsid w:val="4D90503C"/>
    <w:rsid w:val="533B2567"/>
    <w:rsid w:val="537A3B31"/>
    <w:rsid w:val="553C40C4"/>
    <w:rsid w:val="5CBE7DC3"/>
    <w:rsid w:val="5FC52CD0"/>
    <w:rsid w:val="60A017D1"/>
    <w:rsid w:val="62F92D25"/>
    <w:rsid w:val="63C42FF6"/>
    <w:rsid w:val="64682401"/>
    <w:rsid w:val="6507013B"/>
    <w:rsid w:val="656B0015"/>
    <w:rsid w:val="694A46B0"/>
    <w:rsid w:val="69916BA5"/>
    <w:rsid w:val="6C0A1817"/>
    <w:rsid w:val="6D0F5631"/>
    <w:rsid w:val="6D76254C"/>
    <w:rsid w:val="6E58345C"/>
    <w:rsid w:val="7342616F"/>
    <w:rsid w:val="73AE7D7B"/>
    <w:rsid w:val="740450F3"/>
    <w:rsid w:val="7A4134BA"/>
    <w:rsid w:val="7B54222F"/>
    <w:rsid w:val="7C8E1064"/>
    <w:rsid w:val="7D1300A1"/>
    <w:rsid w:val="7E0F4A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0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282</Words>
  <Characters>1612</Characters>
  <Lines>13</Lines>
  <Paragraphs>3</Paragraphs>
  <ScaleCrop>false</ScaleCrop>
  <LinksUpToDate>false</LinksUpToDate>
  <CharactersWithSpaces>1891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2019-01-15T07:49:00Z</dcterms:created>
  <dc:creator>赵 恺（预算处）</dc:creator>
  <cp:lastModifiedBy>Administrator</cp:lastModifiedBy>
  <cp:lastPrinted>2019-01-13T12:20:00Z</cp:lastPrinted>
  <dcterms:modified xsi:type="dcterms:W3CDTF">2019-10-24T20:44:58Z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