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40" w:lineRule="exact"/>
        <w:jc w:val="left"/>
        <w:rPr>
          <w:rFonts w:hint="eastAsia" w:ascii="仿宋" w:hAnsi="仿宋" w:eastAsia="仿宋" w:cs="仿宋"/>
          <w:kern w:val="0"/>
          <w:sz w:val="36"/>
          <w:szCs w:val="36"/>
        </w:rPr>
      </w:pPr>
      <w:r>
        <w:rPr>
          <w:rFonts w:hint="eastAsia" w:ascii="仿宋" w:hAnsi="仿宋" w:eastAsia="仿宋" w:cs="仿宋"/>
          <w:kern w:val="0"/>
          <w:sz w:val="36"/>
          <w:szCs w:val="36"/>
        </w:rPr>
        <w:t>附件1：</w:t>
      </w:r>
    </w:p>
    <w:p>
      <w:pPr>
        <w:spacing w:line="540" w:lineRule="exact"/>
        <w:jc w:val="center"/>
        <w:rPr>
          <w:rFonts w:hint="eastAsia" w:ascii="仿宋" w:hAnsi="仿宋" w:eastAsia="仿宋" w:cs="仿宋"/>
          <w:b/>
          <w:kern w:val="0"/>
          <w:sz w:val="36"/>
          <w:szCs w:val="36"/>
        </w:rPr>
      </w:pPr>
    </w:p>
    <w:p>
      <w:pPr>
        <w:spacing w:line="540" w:lineRule="exact"/>
        <w:jc w:val="center"/>
        <w:rPr>
          <w:rFonts w:hint="eastAsia" w:ascii="仿宋" w:hAnsi="仿宋" w:eastAsia="仿宋" w:cs="仿宋"/>
          <w:b/>
          <w:kern w:val="0"/>
          <w:sz w:val="36"/>
          <w:szCs w:val="36"/>
        </w:rPr>
      </w:pPr>
    </w:p>
    <w:p>
      <w:pPr>
        <w:spacing w:line="540" w:lineRule="exact"/>
        <w:rPr>
          <w:rFonts w:hint="eastAsia" w:ascii="仿宋" w:hAnsi="仿宋" w:eastAsia="仿宋" w:cs="仿宋"/>
          <w:b/>
          <w:color w:val="auto"/>
          <w:kern w:val="0"/>
          <w:sz w:val="36"/>
          <w:szCs w:val="36"/>
        </w:rPr>
      </w:pPr>
    </w:p>
    <w:p>
      <w:pPr>
        <w:spacing w:line="540" w:lineRule="exact"/>
        <w:jc w:val="center"/>
        <w:rPr>
          <w:rFonts w:hint="eastAsia" w:ascii="仿宋" w:hAnsi="仿宋" w:eastAsia="仿宋" w:cs="仿宋"/>
          <w:b/>
          <w:color w:val="auto"/>
          <w:kern w:val="0"/>
          <w:sz w:val="36"/>
          <w:szCs w:val="36"/>
        </w:rPr>
      </w:pPr>
      <w:r>
        <w:rPr>
          <w:rFonts w:hint="eastAsia" w:ascii="仿宋" w:hAnsi="仿宋" w:eastAsia="仿宋" w:cs="仿宋"/>
          <w:b/>
          <w:color w:val="auto"/>
          <w:kern w:val="0"/>
          <w:sz w:val="36"/>
          <w:szCs w:val="36"/>
        </w:rPr>
        <w:t>玛纳斯县财政项目支出绩效自评报告</w:t>
      </w:r>
    </w:p>
    <w:p>
      <w:pPr>
        <w:spacing w:line="540" w:lineRule="exact"/>
        <w:jc w:val="center"/>
        <w:rPr>
          <w:rFonts w:hint="eastAsia" w:ascii="仿宋" w:hAnsi="仿宋" w:eastAsia="仿宋" w:cs="仿宋"/>
          <w:b/>
          <w:color w:val="auto"/>
          <w:kern w:val="0"/>
          <w:sz w:val="36"/>
          <w:szCs w:val="36"/>
        </w:rPr>
      </w:pPr>
    </w:p>
    <w:p>
      <w:pPr>
        <w:spacing w:line="540" w:lineRule="exact"/>
        <w:jc w:val="center"/>
        <w:rPr>
          <w:rFonts w:hint="eastAsia" w:ascii="仿宋" w:hAnsi="仿宋" w:eastAsia="仿宋" w:cs="仿宋"/>
          <w:color w:val="auto"/>
          <w:kern w:val="0"/>
          <w:sz w:val="36"/>
          <w:szCs w:val="36"/>
        </w:rPr>
      </w:pPr>
      <w:r>
        <w:rPr>
          <w:rFonts w:hint="eastAsia" w:ascii="仿宋" w:hAnsi="仿宋" w:eastAsia="仿宋" w:cs="仿宋"/>
          <w:color w:val="auto"/>
          <w:kern w:val="0"/>
          <w:sz w:val="36"/>
          <w:szCs w:val="36"/>
        </w:rPr>
        <w:t>（201</w:t>
      </w:r>
      <w:r>
        <w:rPr>
          <w:rFonts w:hint="eastAsia" w:ascii="仿宋" w:hAnsi="仿宋" w:eastAsia="仿宋" w:cs="仿宋"/>
          <w:color w:val="auto"/>
          <w:kern w:val="0"/>
          <w:sz w:val="36"/>
          <w:szCs w:val="36"/>
          <w:lang w:val="en-US" w:eastAsia="zh-CN"/>
        </w:rPr>
        <w:t>8</w:t>
      </w:r>
      <w:r>
        <w:rPr>
          <w:rFonts w:hint="eastAsia" w:ascii="仿宋" w:hAnsi="仿宋" w:eastAsia="仿宋" w:cs="仿宋"/>
          <w:color w:val="auto"/>
          <w:kern w:val="0"/>
          <w:sz w:val="36"/>
          <w:szCs w:val="36"/>
        </w:rPr>
        <w:t>年度）</w:t>
      </w: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rPr>
          <w:rFonts w:hint="eastAsia" w:ascii="仿宋" w:hAnsi="仿宋" w:eastAsia="仿宋" w:cs="仿宋"/>
          <w:color w:val="auto"/>
          <w:kern w:val="0"/>
          <w:sz w:val="36"/>
          <w:szCs w:val="36"/>
        </w:rPr>
      </w:pPr>
    </w:p>
    <w:p>
      <w:pPr>
        <w:spacing w:line="700" w:lineRule="exact"/>
        <w:ind w:firstLine="720" w:firstLineChars="200"/>
        <w:jc w:val="left"/>
        <w:rPr>
          <w:rFonts w:hint="eastAsia" w:ascii="仿宋" w:hAnsi="仿宋" w:eastAsia="仿宋" w:cs="仿宋"/>
          <w:color w:val="auto"/>
          <w:kern w:val="0"/>
          <w:sz w:val="36"/>
          <w:szCs w:val="36"/>
          <w:lang w:eastAsia="zh-CN"/>
        </w:rPr>
      </w:pPr>
      <w:r>
        <w:rPr>
          <w:rFonts w:hint="eastAsia" w:ascii="仿宋" w:hAnsi="仿宋" w:eastAsia="仿宋" w:cs="仿宋"/>
          <w:color w:val="auto"/>
          <w:kern w:val="0"/>
          <w:sz w:val="36"/>
          <w:szCs w:val="36"/>
        </w:rPr>
        <w:t>项目名称：</w:t>
      </w:r>
      <w:r>
        <w:rPr>
          <w:rFonts w:hint="eastAsia" w:ascii="仿宋" w:hAnsi="仿宋" w:eastAsia="仿宋" w:cs="仿宋"/>
          <w:color w:val="auto"/>
          <w:sz w:val="36"/>
          <w:szCs w:val="36"/>
          <w:lang w:eastAsia="zh-CN"/>
        </w:rPr>
        <w:t>重点税源监控</w:t>
      </w:r>
      <w:r>
        <w:rPr>
          <w:rFonts w:hint="eastAsia" w:ascii="仿宋" w:hAnsi="仿宋" w:eastAsia="仿宋" w:cs="仿宋"/>
          <w:color w:val="auto"/>
          <w:sz w:val="36"/>
          <w:szCs w:val="36"/>
        </w:rPr>
        <w:t>项目</w:t>
      </w:r>
    </w:p>
    <w:p>
      <w:pPr>
        <w:spacing w:line="700" w:lineRule="exact"/>
        <w:ind w:firstLine="720" w:firstLineChars="200"/>
        <w:jc w:val="left"/>
        <w:rPr>
          <w:rFonts w:hint="eastAsia" w:ascii="仿宋" w:hAnsi="仿宋" w:eastAsia="仿宋" w:cs="仿宋"/>
          <w:color w:val="auto"/>
          <w:kern w:val="0"/>
          <w:sz w:val="36"/>
          <w:szCs w:val="36"/>
        </w:rPr>
      </w:pPr>
      <w:r>
        <w:rPr>
          <w:rFonts w:hint="eastAsia" w:ascii="仿宋" w:hAnsi="仿宋" w:eastAsia="仿宋" w:cs="仿宋"/>
          <w:color w:val="auto"/>
          <w:kern w:val="0"/>
          <w:sz w:val="36"/>
          <w:szCs w:val="36"/>
        </w:rPr>
        <w:t>实施单位（公章）：玛纳斯县财政局</w:t>
      </w:r>
    </w:p>
    <w:p>
      <w:pPr>
        <w:spacing w:line="700" w:lineRule="exact"/>
        <w:ind w:firstLine="849" w:firstLineChars="236"/>
        <w:jc w:val="left"/>
        <w:rPr>
          <w:rFonts w:hint="eastAsia" w:ascii="仿宋" w:hAnsi="仿宋" w:eastAsia="仿宋" w:cs="仿宋"/>
          <w:color w:val="auto"/>
          <w:kern w:val="0"/>
          <w:sz w:val="36"/>
          <w:szCs w:val="36"/>
        </w:rPr>
      </w:pPr>
      <w:r>
        <w:rPr>
          <w:rFonts w:hint="eastAsia" w:ascii="仿宋" w:hAnsi="仿宋" w:eastAsia="仿宋" w:cs="仿宋"/>
          <w:color w:val="auto"/>
          <w:kern w:val="0"/>
          <w:sz w:val="36"/>
          <w:szCs w:val="36"/>
        </w:rPr>
        <w:t>主管部门（公章）：玛纳斯县财政局</w:t>
      </w:r>
    </w:p>
    <w:p>
      <w:pPr>
        <w:spacing w:line="700" w:lineRule="exact"/>
        <w:ind w:firstLine="849" w:firstLineChars="236"/>
        <w:jc w:val="left"/>
        <w:rPr>
          <w:rFonts w:hint="eastAsia" w:ascii="仿宋" w:hAnsi="仿宋" w:eastAsia="仿宋" w:cs="仿宋"/>
          <w:color w:val="auto"/>
          <w:kern w:val="0"/>
          <w:sz w:val="36"/>
          <w:szCs w:val="36"/>
          <w:lang w:eastAsia="zh-CN"/>
        </w:rPr>
      </w:pPr>
      <w:r>
        <w:rPr>
          <w:rFonts w:hint="eastAsia" w:ascii="仿宋" w:hAnsi="仿宋" w:eastAsia="仿宋" w:cs="仿宋"/>
          <w:color w:val="auto"/>
          <w:kern w:val="0"/>
          <w:sz w:val="36"/>
          <w:szCs w:val="36"/>
        </w:rPr>
        <w:t>项目负责人（签章）：</w:t>
      </w:r>
    </w:p>
    <w:p>
      <w:pPr>
        <w:spacing w:line="700" w:lineRule="exact"/>
        <w:ind w:firstLine="849" w:firstLineChars="236"/>
        <w:jc w:val="left"/>
        <w:rPr>
          <w:rFonts w:hint="eastAsia" w:ascii="仿宋" w:hAnsi="仿宋" w:eastAsia="仿宋" w:cs="仿宋"/>
          <w:color w:val="auto"/>
          <w:kern w:val="0"/>
          <w:sz w:val="36"/>
          <w:szCs w:val="36"/>
        </w:rPr>
      </w:pPr>
      <w:r>
        <w:rPr>
          <w:rFonts w:hint="eastAsia" w:ascii="仿宋" w:hAnsi="仿宋" w:eastAsia="仿宋" w:cs="仿宋"/>
          <w:color w:val="auto"/>
          <w:kern w:val="0"/>
          <w:sz w:val="36"/>
          <w:szCs w:val="36"/>
        </w:rPr>
        <w:t>填报时间：201</w:t>
      </w:r>
      <w:r>
        <w:rPr>
          <w:rFonts w:hint="eastAsia" w:ascii="仿宋" w:hAnsi="仿宋" w:eastAsia="仿宋" w:cs="仿宋"/>
          <w:color w:val="auto"/>
          <w:kern w:val="0"/>
          <w:sz w:val="36"/>
          <w:szCs w:val="36"/>
          <w:lang w:val="en-US" w:eastAsia="zh-CN"/>
        </w:rPr>
        <w:t>9</w:t>
      </w:r>
      <w:r>
        <w:rPr>
          <w:rFonts w:hint="eastAsia" w:ascii="仿宋" w:hAnsi="仿宋" w:eastAsia="仿宋" w:cs="仿宋"/>
          <w:color w:val="auto"/>
          <w:kern w:val="0"/>
          <w:sz w:val="36"/>
          <w:szCs w:val="36"/>
        </w:rPr>
        <w:t>年</w:t>
      </w:r>
      <w:r>
        <w:rPr>
          <w:rFonts w:hint="eastAsia" w:ascii="仿宋" w:hAnsi="仿宋" w:eastAsia="仿宋" w:cs="仿宋"/>
          <w:color w:val="auto"/>
          <w:kern w:val="0"/>
          <w:sz w:val="36"/>
          <w:szCs w:val="36"/>
          <w:lang w:val="en-US" w:eastAsia="zh-CN"/>
        </w:rPr>
        <w:t>2</w:t>
      </w:r>
      <w:r>
        <w:rPr>
          <w:rFonts w:hint="eastAsia" w:ascii="仿宋" w:hAnsi="仿宋" w:eastAsia="仿宋" w:cs="仿宋"/>
          <w:color w:val="auto"/>
          <w:kern w:val="0"/>
          <w:sz w:val="36"/>
          <w:szCs w:val="36"/>
        </w:rPr>
        <w:t>月</w:t>
      </w:r>
      <w:r>
        <w:rPr>
          <w:rFonts w:hint="eastAsia" w:ascii="仿宋" w:hAnsi="仿宋" w:eastAsia="仿宋" w:cs="仿宋"/>
          <w:color w:val="auto"/>
          <w:kern w:val="0"/>
          <w:sz w:val="36"/>
          <w:szCs w:val="36"/>
          <w:lang w:val="en-US" w:eastAsia="zh-CN"/>
        </w:rPr>
        <w:t>13</w:t>
      </w:r>
      <w:r>
        <w:rPr>
          <w:rFonts w:hint="eastAsia" w:ascii="仿宋" w:hAnsi="仿宋" w:eastAsia="仿宋" w:cs="仿宋"/>
          <w:color w:val="auto"/>
          <w:kern w:val="0"/>
          <w:sz w:val="36"/>
          <w:szCs w:val="36"/>
        </w:rPr>
        <w:t>日</w:t>
      </w:r>
    </w:p>
    <w:p>
      <w:pPr>
        <w:spacing w:line="540" w:lineRule="exact"/>
        <w:jc w:val="center"/>
        <w:rPr>
          <w:rFonts w:hint="eastAsia" w:ascii="仿宋" w:hAnsi="仿宋" w:eastAsia="仿宋" w:cs="仿宋"/>
          <w:color w:val="auto"/>
          <w:kern w:val="0"/>
          <w:sz w:val="36"/>
          <w:szCs w:val="36"/>
        </w:rPr>
      </w:pPr>
    </w:p>
    <w:p>
      <w:pPr>
        <w:spacing w:line="540" w:lineRule="exact"/>
        <w:rPr>
          <w:rStyle w:val="19"/>
          <w:rFonts w:hint="eastAsia" w:ascii="仿宋" w:hAnsi="仿宋" w:eastAsia="仿宋" w:cs="仿宋"/>
          <w:b w:val="0"/>
          <w:color w:val="auto"/>
          <w:spacing w:val="-4"/>
          <w:sz w:val="36"/>
          <w:szCs w:val="36"/>
        </w:rPr>
      </w:pPr>
    </w:p>
    <w:p>
      <w:pPr>
        <w:spacing w:after="0" w:line="540" w:lineRule="exact"/>
        <w:ind w:firstLine="640"/>
        <w:rPr>
          <w:rStyle w:val="19"/>
          <w:rFonts w:hint="eastAsia" w:ascii="黑体" w:hAnsi="黑体" w:eastAsia="黑体" w:cs="Times New Roman"/>
          <w:b w:val="0"/>
          <w:spacing w:val="-4"/>
          <w:sz w:val="32"/>
          <w:szCs w:val="32"/>
        </w:rPr>
      </w:pPr>
      <w:r>
        <w:rPr>
          <w:rStyle w:val="19"/>
          <w:rFonts w:hint="eastAsia" w:ascii="黑体" w:hAnsi="黑体" w:eastAsia="黑体" w:cs="Times New Roman"/>
          <w:b w:val="0"/>
          <w:spacing w:val="-4"/>
          <w:sz w:val="32"/>
          <w:szCs w:val="32"/>
        </w:rPr>
        <w:t>一、项目概况</w:t>
      </w:r>
    </w:p>
    <w:p>
      <w:pPr>
        <w:spacing w:after="0" w:line="540" w:lineRule="exact"/>
        <w:ind w:firstLine="567"/>
        <w:rPr>
          <w:rStyle w:val="19"/>
          <w:rFonts w:hint="eastAsia" w:ascii="楷体" w:hAnsi="楷体" w:eastAsia="楷体" w:cs="Times New Roman"/>
          <w:spacing w:val="-4"/>
          <w:sz w:val="32"/>
          <w:szCs w:val="32"/>
        </w:rPr>
      </w:pPr>
      <w:r>
        <w:rPr>
          <w:rStyle w:val="19"/>
          <w:rFonts w:hint="eastAsia" w:ascii="楷体" w:hAnsi="楷体" w:eastAsia="楷体" w:cs="Times New Roman"/>
          <w:spacing w:val="-4"/>
          <w:sz w:val="32"/>
          <w:szCs w:val="32"/>
        </w:rPr>
        <w:t>（一）项目单位基本情况</w:t>
      </w:r>
    </w:p>
    <w:p>
      <w:pPr>
        <w:spacing w:after="0" w:line="540" w:lineRule="exact"/>
        <w:ind w:firstLine="564" w:firstLineChars="181"/>
        <w:rPr>
          <w:rStyle w:val="19"/>
          <w:rFonts w:hint="eastAsia" w:ascii="仿宋" w:hAnsi="仿宋" w:eastAsia="仿宋" w:cs="Times New Roman"/>
          <w:b w:val="0"/>
          <w:spacing w:val="-4"/>
          <w:sz w:val="32"/>
          <w:szCs w:val="32"/>
          <w:lang w:eastAsia="zh-CN"/>
        </w:rPr>
      </w:pPr>
      <w:r>
        <w:rPr>
          <w:rStyle w:val="19"/>
          <w:rFonts w:hint="eastAsia" w:ascii="仿宋" w:hAnsi="仿宋" w:eastAsia="仿宋" w:cs="Times New Roman"/>
          <w:b w:val="0"/>
          <w:spacing w:val="-4"/>
          <w:sz w:val="32"/>
          <w:szCs w:val="32"/>
        </w:rPr>
        <w:t>1</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贯彻执行国家和区、州财政、税收、国有资产管理的方针政策和法律法规，研究拟定全县财政、税收管理的规范性文件和财务会计规章制度并组织实施。编制年度县级财政预算草案并组织执行，汇总全县财政决算；受县政府委托，向县人民代表大会报告县级和全县财政预算及其执行情况，向县人大常委会报告县级财政决算管理县级各项财政收入；管理县级预算外资金和财政专户；管理有关政府性基金；会同有关部门申报行政事业性收费的立项。</w:t>
      </w:r>
    </w:p>
    <w:p>
      <w:pPr>
        <w:spacing w:after="0" w:line="540" w:lineRule="exact"/>
        <w:ind w:firstLine="564" w:firstLineChars="181"/>
        <w:rPr>
          <w:rStyle w:val="19"/>
          <w:rFonts w:hint="eastAsia" w:ascii="仿宋" w:hAnsi="仿宋" w:eastAsia="仿宋" w:cs="Times New Roman"/>
          <w:b w:val="0"/>
          <w:spacing w:val="-4"/>
          <w:sz w:val="32"/>
          <w:szCs w:val="32"/>
        </w:rPr>
      </w:pPr>
      <w:r>
        <w:rPr>
          <w:rStyle w:val="19"/>
          <w:rFonts w:hint="eastAsia" w:ascii="仿宋" w:hAnsi="仿宋" w:eastAsia="仿宋" w:cs="Times New Roman"/>
          <w:b w:val="0"/>
          <w:spacing w:val="-4"/>
          <w:sz w:val="32"/>
          <w:szCs w:val="32"/>
        </w:rPr>
        <w:t>根据县级预算安排，确定财政收入分配计划，提出地方性税收政策建议。</w:t>
      </w:r>
    </w:p>
    <w:p>
      <w:pPr>
        <w:spacing w:after="0" w:line="540" w:lineRule="exact"/>
        <w:ind w:firstLine="564" w:firstLineChars="181"/>
        <w:rPr>
          <w:rStyle w:val="19"/>
          <w:rFonts w:hint="eastAsia" w:ascii="仿宋" w:hAnsi="仿宋" w:eastAsia="仿宋" w:cs="Times New Roman"/>
          <w:b w:val="0"/>
          <w:spacing w:val="-4"/>
          <w:sz w:val="32"/>
          <w:szCs w:val="32"/>
        </w:rPr>
      </w:pPr>
      <w:r>
        <w:rPr>
          <w:rStyle w:val="19"/>
          <w:rFonts w:hint="eastAsia" w:ascii="仿宋" w:hAnsi="仿宋" w:eastAsia="仿宋" w:cs="Times New Roman"/>
          <w:b w:val="0"/>
          <w:spacing w:val="-4"/>
          <w:sz w:val="32"/>
          <w:szCs w:val="32"/>
        </w:rPr>
        <w:t>2、玛纳斯县财政局单位无下属预算单位，下设14个处室，分别是：行政办公室</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预算股</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文行股</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社保股</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经济建设股</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农业财务股</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国库股</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企业股</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金融办</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国库支付中心综合业务股</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国有企业监事会办公室</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监督股</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综合业务股</w:t>
      </w:r>
      <w:r>
        <w:rPr>
          <w:rStyle w:val="19"/>
          <w:rFonts w:hint="eastAsia" w:ascii="仿宋" w:hAnsi="仿宋" w:eastAsia="仿宋" w:cs="Times New Roman"/>
          <w:b w:val="0"/>
          <w:spacing w:val="-4"/>
          <w:sz w:val="32"/>
          <w:szCs w:val="32"/>
          <w:lang w:eastAsia="zh-CN"/>
        </w:rPr>
        <w:t>、</w:t>
      </w:r>
      <w:r>
        <w:rPr>
          <w:rStyle w:val="19"/>
          <w:rFonts w:hint="eastAsia" w:ascii="仿宋" w:hAnsi="仿宋" w:eastAsia="仿宋" w:cs="Times New Roman"/>
          <w:b w:val="0"/>
          <w:spacing w:val="-4"/>
          <w:sz w:val="32"/>
          <w:szCs w:val="32"/>
        </w:rPr>
        <w:t>会计股</w:t>
      </w:r>
    </w:p>
    <w:p>
      <w:pPr>
        <w:spacing w:after="0" w:line="540" w:lineRule="exact"/>
        <w:ind w:firstLine="564" w:firstLineChars="181"/>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rPr>
        <w:t>3、玛纳斯县财政局单位编制数</w:t>
      </w:r>
      <w:r>
        <w:rPr>
          <w:rStyle w:val="19"/>
          <w:rFonts w:hint="eastAsia" w:ascii="仿宋" w:hAnsi="仿宋" w:eastAsia="仿宋" w:cs="Times New Roman"/>
          <w:b w:val="0"/>
          <w:spacing w:val="-4"/>
          <w:sz w:val="32"/>
          <w:szCs w:val="32"/>
          <w:lang w:val="en-US" w:eastAsia="zh-CN"/>
        </w:rPr>
        <w:t>44</w:t>
      </w:r>
      <w:r>
        <w:rPr>
          <w:rStyle w:val="19"/>
          <w:rFonts w:hint="eastAsia" w:ascii="仿宋" w:hAnsi="仿宋" w:eastAsia="仿宋" w:cs="Times New Roman"/>
          <w:b w:val="0"/>
          <w:spacing w:val="-4"/>
          <w:sz w:val="32"/>
          <w:szCs w:val="32"/>
        </w:rPr>
        <w:t>名，实有人数40人，其中：在职40人，较上年预算人数减少3人；退休14人，较上年预算人数增加5人。享受遗属补助人员1人。</w:t>
      </w:r>
    </w:p>
    <w:p>
      <w:pPr>
        <w:spacing w:after="0" w:line="540" w:lineRule="exact"/>
        <w:ind w:firstLine="567"/>
        <w:rPr>
          <w:rStyle w:val="19"/>
          <w:rFonts w:hint="eastAsia" w:ascii="楷体" w:hAnsi="楷体" w:eastAsia="楷体" w:cs="Times New Roman"/>
          <w:spacing w:val="-4"/>
          <w:sz w:val="32"/>
          <w:szCs w:val="32"/>
          <w:lang w:eastAsia="zh-CN"/>
        </w:rPr>
      </w:pPr>
      <w:r>
        <w:rPr>
          <w:rStyle w:val="19"/>
          <w:rFonts w:hint="eastAsia" w:ascii="楷体" w:hAnsi="楷体" w:eastAsia="楷体" w:cs="Times New Roman"/>
          <w:spacing w:val="-4"/>
          <w:sz w:val="32"/>
          <w:szCs w:val="32"/>
        </w:rPr>
        <w:t>（二）项目预算绩效目标设定情况</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24" w:firstLineChars="200"/>
        <w:textAlignment w:val="auto"/>
        <w:outlineLvl w:val="9"/>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该项目属于经费类项目，主要用于</w:t>
      </w:r>
      <w:r>
        <w:rPr>
          <w:rStyle w:val="19"/>
          <w:rFonts w:hint="eastAsia" w:ascii="仿宋" w:hAnsi="仿宋" w:eastAsia="仿宋" w:cs="Times New Roman"/>
          <w:b w:val="0"/>
          <w:spacing w:val="-4"/>
          <w:sz w:val="32"/>
          <w:szCs w:val="32"/>
          <w:lang w:val="en-US" w:eastAsia="zh-CN"/>
        </w:rPr>
        <w:t>主要调查样本企业的基本信息，有关生产经营、财务和税收数据。</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24" w:firstLineChars="200"/>
        <w:textAlignment w:val="auto"/>
        <w:outlineLvl w:val="9"/>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本项目共设置一级指标3个、二级指标7个、三级指标8个指标。三级指标可量化6个，占比75%。</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24" w:firstLineChars="200"/>
        <w:textAlignment w:val="auto"/>
        <w:outlineLvl w:val="9"/>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1、预期目标及阶段性目标:按照自治区财政厅《关于进一步做好全国重点企业税源调查快报工作的通知》(新财法税[2017〕38号)文件要求</w:t>
      </w:r>
      <w:r>
        <w:rPr>
          <w:rStyle w:val="19"/>
          <w:rFonts w:hint="eastAsia" w:ascii="仿宋" w:hAnsi="仿宋" w:eastAsia="仿宋" w:cs="Times New Roman"/>
          <w:b w:val="0"/>
          <w:spacing w:val="-4"/>
          <w:sz w:val="32"/>
          <w:szCs w:val="32"/>
          <w:lang w:val="en-US" w:eastAsia="zh-CN"/>
        </w:rPr>
        <w:t>,2018年自治区财政厅在玛纳斯县选取了3户企业(含合作社)作为财政部组织的全国重点企业税源调查样本，并明确了严格的工作标准。</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24" w:firstLineChars="200"/>
        <w:textAlignment w:val="auto"/>
        <w:outlineLvl w:val="9"/>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2、</w:t>
      </w:r>
      <w:r>
        <w:rPr>
          <w:rStyle w:val="19"/>
          <w:rFonts w:hint="eastAsia" w:ascii="仿宋" w:hAnsi="仿宋" w:eastAsia="仿宋" w:cs="Times New Roman"/>
          <w:b w:val="0"/>
          <w:spacing w:val="-4"/>
          <w:sz w:val="32"/>
          <w:szCs w:val="32"/>
          <w:lang w:val="en-US" w:eastAsia="zh-CN"/>
        </w:rPr>
        <w:t>项目基本性质、用途和主要内容、涉及范围：主要调查样本企业的基本信息，有关生产经营、财务和税收数据，包括：样本企业每个季度的资产负债表、利润表及附注、纳税申报表及附表中的财务会计、税收类数据以及相关生产经营类数据等，样本企业应根据其基本信息，按照《全国重点企业税源调查快报代码编制规定》的规定，编制填写企业代码；根据其财务会计、税收和生产经营类数据，填报《全国重点企业税源调查快报指标》。</w:t>
      </w:r>
    </w:p>
    <w:p>
      <w:pPr>
        <w:spacing w:line="540" w:lineRule="exact"/>
        <w:ind w:firstLine="640"/>
        <w:rPr>
          <w:rStyle w:val="19"/>
          <w:rFonts w:hint="eastAsia" w:ascii="黑体" w:hAnsi="黑体" w:eastAsia="黑体" w:cs="Times New Roman"/>
          <w:b w:val="0"/>
          <w:spacing w:val="-4"/>
          <w:sz w:val="32"/>
          <w:szCs w:val="32"/>
        </w:rPr>
      </w:pPr>
      <w:r>
        <w:rPr>
          <w:rStyle w:val="19"/>
          <w:rFonts w:hint="eastAsia" w:ascii="黑体" w:hAnsi="黑体" w:eastAsia="黑体" w:cs="Times New Roman"/>
          <w:b w:val="0"/>
          <w:spacing w:val="-4"/>
          <w:sz w:val="32"/>
          <w:szCs w:val="32"/>
        </w:rPr>
        <w:t>二、项目资金使用及管理情况</w:t>
      </w:r>
    </w:p>
    <w:p>
      <w:pPr>
        <w:spacing w:after="0" w:line="540" w:lineRule="exact"/>
        <w:ind w:firstLine="567"/>
        <w:rPr>
          <w:rStyle w:val="19"/>
          <w:rFonts w:hint="eastAsia" w:ascii="楷体" w:hAnsi="楷体" w:eastAsia="楷体" w:cs="Times New Roman"/>
          <w:spacing w:val="-4"/>
          <w:sz w:val="32"/>
          <w:szCs w:val="32"/>
        </w:rPr>
      </w:pPr>
      <w:r>
        <w:rPr>
          <w:rStyle w:val="19"/>
          <w:rFonts w:hint="eastAsia" w:ascii="楷体" w:hAnsi="楷体" w:eastAsia="楷体" w:cs="Times New Roman"/>
          <w:spacing w:val="-4"/>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24" w:firstLineChars="200"/>
        <w:textAlignment w:val="auto"/>
        <w:outlineLvl w:val="9"/>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2018年上级安排资金0.6万元，其中：中央财政安排0万元，自治区财政安排0.6万元，州安排财政安排0万元，县本级财政配套0万元，自筹资金0万元，资金已全部到位，到位率100%。</w:t>
      </w:r>
    </w:p>
    <w:p>
      <w:pPr>
        <w:spacing w:after="0" w:line="540" w:lineRule="exact"/>
        <w:ind w:firstLine="567"/>
        <w:rPr>
          <w:rStyle w:val="19"/>
          <w:rFonts w:hint="eastAsia" w:ascii="楷体" w:hAnsi="楷体" w:eastAsia="楷体" w:cs="Times New Roman"/>
          <w:spacing w:val="-4"/>
          <w:sz w:val="32"/>
          <w:szCs w:val="32"/>
        </w:rPr>
      </w:pPr>
      <w:r>
        <w:rPr>
          <w:rStyle w:val="19"/>
          <w:rFonts w:hint="eastAsia" w:ascii="楷体" w:hAnsi="楷体" w:eastAsia="楷体" w:cs="Times New Roman"/>
          <w:spacing w:val="-4"/>
          <w:sz w:val="32"/>
          <w:szCs w:val="32"/>
        </w:rPr>
        <w:t>（二）项目资金实际使用情况分析</w:t>
      </w:r>
    </w:p>
    <w:p>
      <w:pPr>
        <w:spacing w:line="540" w:lineRule="exact"/>
        <w:ind w:firstLine="624" w:firstLineChars="200"/>
        <w:rPr>
          <w:rStyle w:val="19"/>
          <w:rFonts w:hint="eastAsia" w:ascii="仿宋" w:hAnsi="仿宋" w:eastAsia="仿宋" w:cs="仿宋"/>
          <w:color w:val="auto"/>
          <w:spacing w:val="-4"/>
          <w:sz w:val="36"/>
          <w:szCs w:val="36"/>
        </w:rPr>
      </w:pPr>
      <w:r>
        <w:rPr>
          <w:rStyle w:val="19"/>
          <w:rFonts w:hint="eastAsia" w:ascii="仿宋" w:hAnsi="仿宋" w:eastAsia="仿宋" w:cs="Times New Roman"/>
          <w:b w:val="0"/>
          <w:spacing w:val="-4"/>
          <w:sz w:val="32"/>
          <w:szCs w:val="32"/>
          <w:lang w:val="en-US" w:eastAsia="zh-CN"/>
        </w:rPr>
        <w:t>2018年上级下达资金0.6万元，资金下达率100%，支付资金0.6万元，全部用于重点税源监控项目支出，资金使用率100%。项目实施后能够按照财政部的要求对玛纳斯县域内的三家重点企业经营情况进行全面了解掌握，为财政部今后制定涉企相关税收政策提供依据。</w:t>
      </w:r>
    </w:p>
    <w:p>
      <w:pPr>
        <w:spacing w:after="0" w:line="540" w:lineRule="exact"/>
        <w:ind w:firstLine="567"/>
        <w:rPr>
          <w:rStyle w:val="19"/>
          <w:rFonts w:hint="eastAsia" w:ascii="楷体" w:hAnsi="楷体" w:eastAsia="楷体" w:cs="Times New Roman"/>
          <w:spacing w:val="-4"/>
          <w:sz w:val="32"/>
          <w:szCs w:val="32"/>
        </w:rPr>
      </w:pPr>
      <w:r>
        <w:rPr>
          <w:rStyle w:val="19"/>
          <w:rFonts w:hint="eastAsia" w:ascii="楷体" w:hAnsi="楷体" w:eastAsia="楷体" w:cs="Times New Roman"/>
          <w:spacing w:val="-4"/>
          <w:sz w:val="32"/>
          <w:szCs w:val="32"/>
        </w:rPr>
        <w:t>（三）项目资金管理情况分析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管理制度、办法的制定：努力用好每一分钱，办好每一件事，不断提高信息化建设经费的管理水平和使用效益。单位制订了《内部会计管理制度》、《财务主管岗位职责》《财务处理程序制度》《原始记录管理制度》《财务稽核制度》等20项会计制度，根据内部管理的需要，明确各工作岗位的职责和权限。</w:t>
      </w:r>
    </w:p>
    <w:p>
      <w:pPr>
        <w:spacing w:line="540" w:lineRule="exact"/>
        <w:ind w:firstLine="640"/>
        <w:rPr>
          <w:rStyle w:val="19"/>
          <w:rFonts w:hint="eastAsia" w:ascii="黑体" w:hAnsi="黑体" w:eastAsia="黑体" w:cs="Times New Roman"/>
          <w:b w:val="0"/>
          <w:spacing w:val="-4"/>
          <w:sz w:val="32"/>
          <w:szCs w:val="32"/>
        </w:rPr>
      </w:pPr>
      <w:r>
        <w:rPr>
          <w:rStyle w:val="19"/>
          <w:rFonts w:hint="eastAsia" w:ascii="黑体" w:hAnsi="黑体" w:eastAsia="黑体" w:cs="Times New Roman"/>
          <w:b w:val="0"/>
          <w:spacing w:val="-4"/>
          <w:sz w:val="32"/>
          <w:szCs w:val="32"/>
        </w:rPr>
        <w:t>三、项目组织实施情况</w:t>
      </w:r>
    </w:p>
    <w:p>
      <w:pPr>
        <w:spacing w:after="0" w:line="540" w:lineRule="exact"/>
        <w:ind w:firstLine="567"/>
        <w:rPr>
          <w:rStyle w:val="19"/>
          <w:rFonts w:hint="eastAsia" w:ascii="楷体" w:hAnsi="楷体" w:eastAsia="楷体" w:cs="Times New Roman"/>
          <w:spacing w:val="-4"/>
          <w:sz w:val="32"/>
          <w:szCs w:val="32"/>
        </w:rPr>
      </w:pPr>
      <w:r>
        <w:rPr>
          <w:rStyle w:val="19"/>
          <w:rFonts w:hint="eastAsia" w:ascii="楷体" w:hAnsi="楷体" w:eastAsia="楷体" w:cs="Times New Roman"/>
          <w:spacing w:val="-4"/>
          <w:sz w:val="32"/>
          <w:szCs w:val="32"/>
        </w:rPr>
        <w:t>（一）项目组织情况分析：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项目投标情况：玛纳斯县财政局项目是重点税源监控项目。2018年拨入0.6万元，</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调整情况：2018年项目资金无调整情况。</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验收情况：2018年拨入重点税源监控项目0.6万元，全部用于重点税源监控支出。</w:t>
      </w:r>
    </w:p>
    <w:p>
      <w:pPr>
        <w:spacing w:after="0" w:line="540" w:lineRule="exact"/>
        <w:ind w:firstLine="567"/>
        <w:rPr>
          <w:rStyle w:val="19"/>
          <w:rFonts w:hint="eastAsia" w:ascii="楷体" w:hAnsi="楷体" w:eastAsia="楷体" w:cs="Times New Roman"/>
          <w:spacing w:val="-4"/>
          <w:sz w:val="32"/>
          <w:szCs w:val="32"/>
        </w:rPr>
      </w:pPr>
      <w:r>
        <w:rPr>
          <w:rStyle w:val="19"/>
          <w:rFonts w:hint="eastAsia" w:ascii="楷体" w:hAnsi="楷体" w:eastAsia="楷体" w:cs="Times New Roman"/>
          <w:spacing w:val="-4"/>
          <w:sz w:val="32"/>
          <w:szCs w:val="32"/>
        </w:rPr>
        <w:t>（二）项目管理情况分析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单位制订了《内部会计管理制度》、《财务主管岗位职责》《财务处理程序制度》《原始记录管理制度》《财务稽核制度》等20项会计制度，根据内部管理的需要，明确各工作岗位的职责和权限。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根据公用经费支出范围制度，严格按照财务管理制度进行重点税源监控项目日常活动支出，合理使用经费。</w:t>
      </w:r>
    </w:p>
    <w:p>
      <w:pPr>
        <w:spacing w:line="540" w:lineRule="exact"/>
        <w:ind w:firstLine="640"/>
        <w:rPr>
          <w:rStyle w:val="19"/>
          <w:rFonts w:hint="eastAsia" w:ascii="黑体" w:hAnsi="黑体" w:eastAsia="黑体" w:cs="Times New Roman"/>
          <w:b w:val="0"/>
          <w:spacing w:val="-4"/>
          <w:sz w:val="32"/>
          <w:szCs w:val="32"/>
          <w:lang w:eastAsia="zh-CN"/>
        </w:rPr>
      </w:pPr>
      <w:r>
        <w:rPr>
          <w:rStyle w:val="19"/>
          <w:rFonts w:hint="eastAsia" w:ascii="黑体" w:hAnsi="黑体" w:eastAsia="黑体" w:cs="Times New Roman"/>
          <w:b w:val="0"/>
          <w:spacing w:val="-4"/>
          <w:sz w:val="32"/>
          <w:szCs w:val="32"/>
        </w:rPr>
        <w:t>四、项目绩效情况</w:t>
      </w:r>
    </w:p>
    <w:p>
      <w:pPr>
        <w:spacing w:after="0" w:line="540" w:lineRule="exact"/>
        <w:ind w:firstLine="567"/>
        <w:rPr>
          <w:rStyle w:val="19"/>
          <w:rFonts w:hint="eastAsia" w:ascii="楷体" w:hAnsi="楷体" w:eastAsia="楷体" w:cs="Times New Roman"/>
          <w:spacing w:val="-4"/>
          <w:sz w:val="32"/>
          <w:szCs w:val="32"/>
        </w:rPr>
      </w:pPr>
      <w:r>
        <w:rPr>
          <w:rStyle w:val="19"/>
          <w:rFonts w:hint="eastAsia" w:ascii="楷体" w:hAnsi="楷体" w:eastAsia="楷体" w:cs="Times New Roman"/>
          <w:spacing w:val="-4"/>
          <w:sz w:val="32"/>
          <w:szCs w:val="32"/>
        </w:rPr>
        <w:t>（一）项目绩效目标完成情况分析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本项目共设置一级指标3个、二级指标7个、三级指标8个。其中已完成三级指标8个，指标完成率为100%。</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9"/>
          <w:rFonts w:hint="eastAsia" w:ascii="华文楷体" w:hAnsi="华文楷体" w:eastAsia="华文楷体" w:cs="华文楷体"/>
          <w:b/>
          <w:bCs/>
          <w:sz w:val="32"/>
          <w:szCs w:val="32"/>
        </w:rPr>
      </w:pPr>
      <w:r>
        <w:rPr>
          <w:rStyle w:val="19"/>
          <w:rFonts w:hint="eastAsia" w:ascii="华文楷体" w:hAnsi="华文楷体" w:eastAsia="华文楷体" w:cs="华文楷体"/>
          <w:b/>
          <w:bCs/>
          <w:sz w:val="32"/>
          <w:szCs w:val="32"/>
        </w:rPr>
        <w:t>1、产出指标完成情况分析。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（1）项目完成数量。编报数量3家，完成率100%。</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（2）项目完成质量。100%完成《全国重点企业税源调查快报指标》填报完整，确保税源监控项目各个指标按期实施，保证质量100%，</w:t>
      </w:r>
      <w:r>
        <w:rPr>
          <w:rStyle w:val="19"/>
          <w:rFonts w:hint="eastAsia" w:ascii="仿宋" w:hAnsi="仿宋" w:eastAsia="仿宋" w:cs="Times New Roman"/>
          <w:b w:val="0"/>
          <w:spacing w:val="-4"/>
          <w:sz w:val="32"/>
          <w:szCs w:val="32"/>
          <w:lang w:val="en-US" w:eastAsia="zh-CN"/>
        </w:rPr>
        <w:t>，完成率100%。</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（3）项目完成时效。预算执行率100%。</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（4）项目完成成本。法治税政基层补助0.6万元，执行0.6万元，执行率100%。</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9"/>
          <w:rFonts w:hint="eastAsia" w:ascii="华文楷体" w:hAnsi="华文楷体" w:eastAsia="华文楷体" w:cs="华文楷体"/>
          <w:b/>
          <w:bCs/>
          <w:sz w:val="32"/>
          <w:szCs w:val="32"/>
        </w:rPr>
      </w:pPr>
      <w:r>
        <w:rPr>
          <w:rStyle w:val="19"/>
          <w:rFonts w:hint="eastAsia" w:ascii="华文楷体" w:hAnsi="华文楷体" w:eastAsia="华文楷体" w:cs="华文楷体"/>
          <w:b/>
          <w:bCs/>
          <w:sz w:val="32"/>
          <w:szCs w:val="32"/>
        </w:rPr>
        <w:t>2</w:t>
      </w:r>
      <w:r>
        <w:rPr>
          <w:rStyle w:val="19"/>
          <w:rFonts w:hint="eastAsia" w:ascii="华文楷体" w:hAnsi="华文楷体" w:eastAsia="华文楷体" w:cs="华文楷体"/>
          <w:b/>
          <w:bCs/>
          <w:sz w:val="32"/>
          <w:szCs w:val="32"/>
          <w:lang w:eastAsia="zh-CN"/>
        </w:rPr>
        <w:t>、</w:t>
      </w:r>
      <w:r>
        <w:rPr>
          <w:rStyle w:val="19"/>
          <w:rFonts w:hint="eastAsia" w:ascii="华文楷体" w:hAnsi="华文楷体" w:eastAsia="华文楷体" w:cs="华文楷体"/>
          <w:b/>
          <w:bCs/>
          <w:sz w:val="32"/>
          <w:szCs w:val="32"/>
        </w:rPr>
        <w:t>效益指标完成情况分析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（1）项目实施的社会效益分析。为玛纳斯县重点税源监控项目正常运转提供保障，满足财政部了解掌握3户重点企业经营情况。</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（2）项目实施的可持续影响分析。项目持续时间1年，完成值100%。</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9"/>
          <w:rFonts w:hint="eastAsia" w:ascii="华文楷体" w:hAnsi="华文楷体" w:eastAsia="华文楷体" w:cs="华文楷体"/>
          <w:b/>
          <w:bCs/>
          <w:sz w:val="32"/>
          <w:szCs w:val="32"/>
        </w:rPr>
      </w:pPr>
      <w:r>
        <w:rPr>
          <w:rStyle w:val="19"/>
          <w:rFonts w:hint="eastAsia" w:ascii="华文楷体" w:hAnsi="华文楷体" w:eastAsia="华文楷体" w:cs="华文楷体"/>
          <w:b/>
          <w:bCs/>
          <w:sz w:val="32"/>
          <w:szCs w:val="32"/>
        </w:rPr>
        <w:t>3</w:t>
      </w:r>
      <w:r>
        <w:rPr>
          <w:rStyle w:val="19"/>
          <w:rFonts w:hint="eastAsia" w:ascii="华文楷体" w:hAnsi="华文楷体" w:eastAsia="华文楷体" w:cs="华文楷体"/>
          <w:b/>
          <w:bCs/>
          <w:sz w:val="32"/>
          <w:szCs w:val="32"/>
          <w:lang w:eastAsia="zh-CN"/>
        </w:rPr>
        <w:t>、</w:t>
      </w:r>
      <w:r>
        <w:rPr>
          <w:rStyle w:val="19"/>
          <w:rFonts w:hint="eastAsia" w:ascii="华文楷体" w:hAnsi="华文楷体" w:eastAsia="华文楷体" w:cs="华文楷体"/>
          <w:b/>
          <w:bCs/>
          <w:sz w:val="32"/>
          <w:szCs w:val="32"/>
        </w:rPr>
        <w:t>满意度指标完成情况分析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该项目指标已全部完成接受编报服务单位满意度</w:t>
      </w:r>
      <w:r>
        <w:rPr>
          <w:rStyle w:val="19"/>
          <w:rFonts w:hint="eastAsia" w:ascii="仿宋" w:hAnsi="仿宋" w:eastAsia="仿宋" w:cs="Times New Roman"/>
          <w:b w:val="0"/>
          <w:spacing w:val="-4"/>
          <w:sz w:val="32"/>
          <w:szCs w:val="32"/>
          <w:lang w:val="en-US" w:eastAsia="zh-CN"/>
        </w:rPr>
        <w:t>100%。按照要求对玛纳斯县域内的三家重点企业经营情况进行全面了解掌握，从而为财政部今后制定涉企相关税收政策提供依据。完成《全国重点企业税源调查快报指标》填报。</w:t>
      </w:r>
    </w:p>
    <w:p>
      <w:pPr>
        <w:spacing w:after="0" w:line="540" w:lineRule="exact"/>
        <w:ind w:firstLine="567"/>
        <w:rPr>
          <w:rStyle w:val="19"/>
          <w:rFonts w:hint="eastAsia" w:ascii="楷体" w:hAnsi="楷体" w:eastAsia="楷体" w:cs="Times New Roman"/>
          <w:spacing w:val="-4"/>
          <w:sz w:val="32"/>
          <w:szCs w:val="32"/>
        </w:rPr>
      </w:pPr>
      <w:r>
        <w:rPr>
          <w:rStyle w:val="19"/>
          <w:rFonts w:hint="eastAsia" w:ascii="楷体" w:hAnsi="楷体" w:eastAsia="楷体" w:cs="Times New Roman"/>
          <w:spacing w:val="-4"/>
          <w:sz w:val="32"/>
          <w:szCs w:val="32"/>
        </w:rPr>
        <w:t>（二）项目绩效目标未完成原因分析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该项目已完成所有设定的绩效目标任务，完成率100%不存在未完成目标值情况。</w:t>
      </w:r>
    </w:p>
    <w:p>
      <w:pPr>
        <w:spacing w:line="540" w:lineRule="exact"/>
        <w:ind w:firstLine="640"/>
        <w:rPr>
          <w:rStyle w:val="19"/>
          <w:rFonts w:hint="eastAsia" w:ascii="黑体" w:hAnsi="黑体" w:eastAsia="黑体" w:cs="Times New Roman"/>
          <w:b w:val="0"/>
          <w:spacing w:val="-4"/>
          <w:sz w:val="32"/>
          <w:szCs w:val="32"/>
        </w:rPr>
      </w:pPr>
      <w:r>
        <w:rPr>
          <w:rStyle w:val="19"/>
          <w:rFonts w:hint="eastAsia" w:ascii="黑体" w:hAnsi="黑体" w:eastAsia="黑体" w:cs="Times New Roman"/>
          <w:b w:val="0"/>
          <w:spacing w:val="-4"/>
          <w:sz w:val="32"/>
          <w:szCs w:val="32"/>
        </w:rPr>
        <w:t>五、其他需要说明的问题</w:t>
      </w:r>
    </w:p>
    <w:p>
      <w:pPr>
        <w:spacing w:after="0" w:line="540" w:lineRule="exact"/>
        <w:ind w:firstLine="567"/>
        <w:rPr>
          <w:rStyle w:val="19"/>
          <w:rFonts w:hint="eastAsia" w:ascii="楷体" w:hAnsi="楷体" w:eastAsia="楷体" w:cs="Times New Roman"/>
          <w:spacing w:val="-4"/>
          <w:sz w:val="32"/>
          <w:szCs w:val="32"/>
        </w:rPr>
      </w:pPr>
      <w:r>
        <w:rPr>
          <w:rStyle w:val="19"/>
          <w:rFonts w:hint="eastAsia" w:ascii="楷体" w:hAnsi="楷体" w:eastAsia="楷体" w:cs="Times New Roman"/>
          <w:spacing w:val="-4"/>
          <w:sz w:val="32"/>
          <w:szCs w:val="32"/>
        </w:rPr>
        <w:t>（一）后续工作计划：</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更加合理科学使用经费，充分满足涉企相关税收政策工作。</w:t>
      </w:r>
    </w:p>
    <w:p>
      <w:pPr>
        <w:spacing w:after="0" w:line="540" w:lineRule="exact"/>
        <w:ind w:firstLine="567"/>
        <w:rPr>
          <w:rStyle w:val="19"/>
          <w:rFonts w:hint="eastAsia" w:ascii="楷体" w:hAnsi="楷体" w:eastAsia="楷体" w:cs="Times New Roman"/>
          <w:spacing w:val="-4"/>
          <w:sz w:val="32"/>
          <w:szCs w:val="32"/>
        </w:rPr>
      </w:pPr>
      <w:r>
        <w:rPr>
          <w:rStyle w:val="19"/>
          <w:rFonts w:hint="eastAsia" w:ascii="楷体" w:hAnsi="楷体" w:eastAsia="楷体" w:cs="Times New Roman"/>
          <w:spacing w:val="-4"/>
          <w:sz w:val="32"/>
          <w:szCs w:val="32"/>
        </w:rPr>
        <w:t>（二）主要经验及做法、存在问题和建议</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主要经验及做法：合理科学使用经费；根据3家企业财务会计、税收和生产经营类数据，按时填报《全国重点企业税源调查快报指标》。</w:t>
      </w:r>
    </w:p>
    <w:p>
      <w:pPr>
        <w:pStyle w:val="15"/>
        <w:spacing w:before="0" w:beforeAutospacing="0" w:after="0" w:afterAutospacing="0" w:line="540" w:lineRule="exact"/>
        <w:ind w:firstLine="624" w:firstLineChars="200"/>
        <w:jc w:val="both"/>
        <w:rPr>
          <w:rStyle w:val="19"/>
          <w:rFonts w:hint="eastAsia" w:ascii="仿宋" w:hAnsi="仿宋" w:eastAsia="仿宋"/>
          <w:b w:val="0"/>
          <w:spacing w:val="-4"/>
          <w:kern w:val="2"/>
          <w:sz w:val="32"/>
          <w:szCs w:val="32"/>
          <w:lang w:val="en-US" w:eastAsia="zh-CN"/>
        </w:rPr>
      </w:pPr>
      <w:r>
        <w:rPr>
          <w:rStyle w:val="19"/>
          <w:rFonts w:hint="eastAsia" w:ascii="仿宋" w:hAnsi="仿宋" w:eastAsia="仿宋"/>
          <w:b w:val="0"/>
          <w:spacing w:val="-4"/>
          <w:kern w:val="2"/>
          <w:sz w:val="32"/>
          <w:szCs w:val="32"/>
          <w:lang w:val="en-US" w:eastAsia="zh-CN"/>
        </w:rPr>
        <w:t>存在问题：对绩效监控的认识和重视程度不够，对绩效监控的工作认真不够。</w:t>
      </w:r>
    </w:p>
    <w:p>
      <w:pPr>
        <w:pStyle w:val="15"/>
        <w:spacing w:before="0" w:beforeAutospacing="0" w:after="0" w:afterAutospacing="0" w:line="540" w:lineRule="exact"/>
        <w:ind w:firstLine="624" w:firstLineChars="200"/>
        <w:jc w:val="both"/>
        <w:rPr>
          <w:rStyle w:val="19"/>
          <w:rFonts w:hint="eastAsia" w:ascii="仿宋" w:hAnsi="仿宋" w:eastAsia="仿宋"/>
          <w:b w:val="0"/>
          <w:spacing w:val="-4"/>
          <w:kern w:val="2"/>
          <w:sz w:val="32"/>
          <w:szCs w:val="32"/>
          <w:lang w:val="en-US" w:eastAsia="zh-CN"/>
        </w:rPr>
      </w:pPr>
      <w:r>
        <w:rPr>
          <w:rStyle w:val="19"/>
          <w:rFonts w:hint="eastAsia" w:ascii="仿宋" w:hAnsi="仿宋" w:eastAsia="仿宋"/>
          <w:b w:val="0"/>
          <w:spacing w:val="-4"/>
          <w:kern w:val="2"/>
          <w:sz w:val="32"/>
          <w:szCs w:val="32"/>
          <w:lang w:val="en-US" w:eastAsia="zh-CN"/>
        </w:rPr>
        <w:t>建议：加强花钱必问效，无效比问责的理念，加强绩效监控的重视程度和学习能力，通过学习加强绩效管理工作。</w:t>
      </w:r>
    </w:p>
    <w:p>
      <w:pPr>
        <w:spacing w:line="540" w:lineRule="exact"/>
        <w:ind w:firstLine="624" w:firstLineChars="200"/>
        <w:rPr>
          <w:rStyle w:val="19"/>
          <w:rFonts w:hint="eastAsia" w:ascii="仿宋" w:hAnsi="仿宋" w:eastAsia="仿宋" w:cs="Times New Roman"/>
          <w:b w:val="0"/>
          <w:spacing w:val="-4"/>
          <w:sz w:val="32"/>
          <w:szCs w:val="32"/>
          <w:lang w:val="en-US" w:eastAsia="zh-CN"/>
        </w:rPr>
      </w:pPr>
    </w:p>
    <w:p>
      <w:pPr>
        <w:numPr>
          <w:ilvl w:val="0"/>
          <w:numId w:val="1"/>
        </w:numPr>
        <w:spacing w:line="540" w:lineRule="exact"/>
        <w:ind w:firstLine="567" w:firstLineChars="181"/>
        <w:rPr>
          <w:rStyle w:val="19"/>
          <w:rFonts w:hint="eastAsia" w:ascii="楷体" w:hAnsi="楷体" w:eastAsia="楷体" w:cs="Times New Roman"/>
          <w:spacing w:val="-4"/>
          <w:sz w:val="32"/>
          <w:szCs w:val="32"/>
        </w:rPr>
      </w:pPr>
      <w:r>
        <w:rPr>
          <w:rStyle w:val="19"/>
          <w:rFonts w:hint="eastAsia" w:ascii="楷体" w:hAnsi="楷体" w:eastAsia="楷体" w:cs="Times New Roman"/>
          <w:spacing w:val="-4"/>
          <w:sz w:val="32"/>
          <w:szCs w:val="32"/>
        </w:rPr>
        <w:t>其他：</w:t>
      </w:r>
    </w:p>
    <w:p>
      <w:pPr>
        <w:spacing w:after="0" w:line="240" w:lineRule="auto"/>
        <w:ind w:firstLine="624" w:firstLineChars="200"/>
        <w:rPr>
          <w:rFonts w:hint="eastAsia" w:ascii="仿宋_GB2312" w:hAnsi="Times New Roman" w:eastAsia="仿宋_GB2312" w:cs="Times New Roman"/>
          <w:spacing w:val="-4"/>
          <w:sz w:val="32"/>
          <w:szCs w:val="32"/>
        </w:rPr>
      </w:pPr>
      <w:r>
        <w:rPr>
          <w:rFonts w:hint="eastAsia" w:ascii="仿宋_GB2312" w:hAnsi="Times New Roman" w:eastAsia="仿宋_GB2312" w:cs="Times New Roman"/>
          <w:spacing w:val="-4"/>
          <w:sz w:val="32"/>
          <w:szCs w:val="32"/>
        </w:rPr>
        <w:t>无</w:t>
      </w:r>
    </w:p>
    <w:p>
      <w:pPr>
        <w:spacing w:line="540" w:lineRule="exact"/>
        <w:ind w:firstLine="640"/>
        <w:rPr>
          <w:rStyle w:val="19"/>
          <w:rFonts w:hint="eastAsia" w:ascii="黑体" w:hAnsi="黑体" w:eastAsia="黑体" w:cs="Times New Roman"/>
          <w:b w:val="0"/>
          <w:spacing w:val="-4"/>
          <w:sz w:val="32"/>
          <w:szCs w:val="32"/>
        </w:rPr>
      </w:pPr>
      <w:r>
        <w:rPr>
          <w:rStyle w:val="19"/>
          <w:rFonts w:hint="eastAsia" w:ascii="黑体" w:hAnsi="黑体" w:eastAsia="黑体" w:cs="Times New Roman"/>
          <w:b w:val="0"/>
          <w:spacing w:val="-4"/>
          <w:sz w:val="32"/>
          <w:szCs w:val="32"/>
        </w:rPr>
        <w:t>六、项目评价工作情况</w:t>
      </w:r>
    </w:p>
    <w:p>
      <w:pPr>
        <w:spacing w:after="0" w:line="240" w:lineRule="auto"/>
        <w:ind w:firstLine="624" w:firstLineChars="200"/>
        <w:rPr>
          <w:rFonts w:hint="eastAsia" w:ascii="仿宋_GB2312" w:hAnsi="Times New Roman" w:eastAsia="仿宋_GB2312" w:cs="Times New Roman"/>
          <w:spacing w:val="-4"/>
          <w:sz w:val="32"/>
          <w:szCs w:val="32"/>
          <w:lang w:eastAsia="zh-CN"/>
        </w:rPr>
      </w:pPr>
      <w:r>
        <w:rPr>
          <w:rFonts w:hint="eastAsia" w:ascii="仿宋_GB2312" w:hAnsi="Times New Roman" w:eastAsia="仿宋_GB2312" w:cs="Times New Roman"/>
          <w:spacing w:val="-4"/>
          <w:sz w:val="32"/>
          <w:szCs w:val="32"/>
        </w:rPr>
        <w:t>201</w:t>
      </w:r>
      <w:r>
        <w:rPr>
          <w:rFonts w:hint="eastAsia" w:ascii="仿宋_GB2312" w:hAnsi="Times New Roman" w:eastAsia="仿宋_GB2312" w:cs="Times New Roman"/>
          <w:spacing w:val="-4"/>
          <w:sz w:val="32"/>
          <w:szCs w:val="32"/>
          <w:lang w:val="en-US" w:eastAsia="zh-CN"/>
        </w:rPr>
        <w:t>8</w:t>
      </w:r>
      <w:r>
        <w:rPr>
          <w:rFonts w:hint="eastAsia" w:ascii="仿宋_GB2312" w:hAnsi="Times New Roman" w:eastAsia="仿宋_GB2312" w:cs="Times New Roman"/>
          <w:spacing w:val="-4"/>
          <w:sz w:val="32"/>
          <w:szCs w:val="32"/>
        </w:rPr>
        <w:t>年拨入</w:t>
      </w:r>
      <w:r>
        <w:rPr>
          <w:rFonts w:hint="eastAsia" w:ascii="仿宋_GB2312" w:hAnsi="Times New Roman" w:eastAsia="仿宋_GB2312" w:cs="Times New Roman"/>
          <w:spacing w:val="-4"/>
          <w:sz w:val="32"/>
          <w:szCs w:val="32"/>
          <w:lang w:eastAsia="zh-CN"/>
        </w:rPr>
        <w:t>重点税源监控</w:t>
      </w:r>
      <w:r>
        <w:rPr>
          <w:rFonts w:hint="eastAsia" w:ascii="仿宋_GB2312" w:hAnsi="Times New Roman" w:eastAsia="仿宋_GB2312" w:cs="Times New Roman"/>
          <w:spacing w:val="-4"/>
          <w:sz w:val="32"/>
          <w:szCs w:val="32"/>
        </w:rPr>
        <w:t>项目</w:t>
      </w:r>
      <w:r>
        <w:rPr>
          <w:rFonts w:hint="eastAsia" w:ascii="仿宋_GB2312" w:eastAsia="仿宋_GB2312" w:cs="Times New Roman"/>
          <w:spacing w:val="-4"/>
          <w:sz w:val="32"/>
          <w:szCs w:val="32"/>
          <w:lang w:val="en-US" w:eastAsia="zh-CN"/>
        </w:rPr>
        <w:t>0.6万元</w:t>
      </w:r>
      <w:r>
        <w:rPr>
          <w:rFonts w:hint="eastAsia" w:ascii="仿宋_GB2312" w:hAnsi="Times New Roman" w:eastAsia="仿宋_GB2312" w:cs="Times New Roman"/>
          <w:spacing w:val="-4"/>
          <w:sz w:val="32"/>
          <w:szCs w:val="32"/>
        </w:rPr>
        <w:t>，全部用于</w:t>
      </w:r>
      <w:r>
        <w:rPr>
          <w:rFonts w:hint="eastAsia" w:ascii="仿宋_GB2312" w:hAnsi="Times New Roman" w:eastAsia="仿宋_GB2312" w:cs="Times New Roman"/>
          <w:spacing w:val="-4"/>
          <w:sz w:val="32"/>
          <w:szCs w:val="32"/>
          <w:lang w:eastAsia="zh-CN"/>
        </w:rPr>
        <w:t>重点税源监控</w:t>
      </w:r>
      <w:r>
        <w:rPr>
          <w:rFonts w:hint="eastAsia" w:ascii="仿宋_GB2312" w:hAnsi="Times New Roman" w:eastAsia="仿宋_GB2312" w:cs="Times New Roman"/>
          <w:spacing w:val="-4"/>
          <w:sz w:val="32"/>
          <w:szCs w:val="32"/>
        </w:rPr>
        <w:t>支出</w:t>
      </w:r>
      <w:r>
        <w:rPr>
          <w:rFonts w:hint="eastAsia" w:ascii="仿宋_GB2312" w:hAnsi="Times New Roman" w:eastAsia="仿宋_GB2312" w:cs="Times New Roman"/>
          <w:spacing w:val="-4"/>
          <w:sz w:val="32"/>
          <w:szCs w:val="32"/>
          <w:lang w:eastAsia="zh-CN"/>
        </w:rPr>
        <w:t>，</w:t>
      </w:r>
      <w:r>
        <w:rPr>
          <w:rFonts w:hint="eastAsia" w:ascii="仿宋_GB2312" w:hAnsi="Times New Roman" w:eastAsia="仿宋_GB2312" w:cs="Times New Roman"/>
          <w:spacing w:val="-4"/>
          <w:sz w:val="32"/>
          <w:szCs w:val="32"/>
        </w:rPr>
        <w:t>充分</w:t>
      </w:r>
      <w:r>
        <w:rPr>
          <w:rFonts w:hint="eastAsia" w:ascii="仿宋_GB2312" w:hAnsi="Times New Roman" w:eastAsia="仿宋_GB2312" w:cs="Times New Roman"/>
          <w:spacing w:val="-4"/>
          <w:sz w:val="32"/>
          <w:szCs w:val="32"/>
          <w:lang w:eastAsia="zh-CN"/>
        </w:rPr>
        <w:t>为财政部今后制定涉企相关税收政策提供依据。</w:t>
      </w:r>
    </w:p>
    <w:p>
      <w:pPr>
        <w:spacing w:after="0" w:line="240" w:lineRule="auto"/>
        <w:ind w:firstLine="624" w:firstLineChars="200"/>
        <w:rPr>
          <w:rFonts w:hint="eastAsia" w:ascii="仿宋_GB2312" w:hAnsi="Times New Roman" w:eastAsia="仿宋_GB2312" w:cs="Times New Roman"/>
          <w:spacing w:val="-4"/>
          <w:sz w:val="32"/>
          <w:szCs w:val="32"/>
          <w:lang w:eastAsia="zh-CN"/>
        </w:rPr>
      </w:pPr>
      <w:r>
        <w:rPr>
          <w:rFonts w:hint="eastAsia" w:ascii="仿宋" w:hAnsi="仿宋" w:eastAsia="仿宋"/>
          <w:spacing w:val="-4"/>
          <w:sz w:val="32"/>
        </w:rPr>
        <w:t>在项目实施前经过充分论证，项目实施过程中严格管理，项目结束后继续跟踪项目效果，做好项目各项手续、财务管理、项目实施等工作。</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w:t>
      </w:r>
      <w:r>
        <w:rPr>
          <w:rStyle w:val="19"/>
          <w:rFonts w:hint="eastAsia" w:ascii="仿宋" w:hAnsi="仿宋" w:eastAsia="仿宋"/>
          <w:b w:val="0"/>
          <w:spacing w:val="-4"/>
          <w:sz w:val="32"/>
          <w:szCs w:val="32"/>
          <w:lang w:eastAsia="zh-CN"/>
        </w:rPr>
        <w:t>玛纳斯县</w:t>
      </w:r>
      <w:r>
        <w:rPr>
          <w:rStyle w:val="19"/>
          <w:rFonts w:hint="eastAsia" w:ascii="仿宋" w:hAnsi="仿宋" w:eastAsia="仿宋"/>
          <w:b w:val="0"/>
          <w:spacing w:val="-4"/>
          <w:sz w:val="32"/>
          <w:szCs w:val="32"/>
        </w:rPr>
        <w:t>财政项目支出绩效自评表》</w:t>
      </w:r>
    </w:p>
    <w:p>
      <w:pPr>
        <w:spacing w:line="540" w:lineRule="exact"/>
        <w:ind w:firstLine="564" w:firstLineChars="181"/>
        <w:rPr>
          <w:rStyle w:val="19"/>
          <w:rFonts w:hint="eastAsia" w:ascii="仿宋" w:hAnsi="仿宋" w:eastAsia="仿宋"/>
          <w:b w:val="0"/>
          <w:spacing w:val="-4"/>
          <w:sz w:val="32"/>
          <w:szCs w:val="32"/>
        </w:rPr>
      </w:pPr>
    </w:p>
    <w:p>
      <w:pPr>
        <w:spacing w:line="540" w:lineRule="exact"/>
        <w:ind w:firstLine="564" w:firstLineChars="181"/>
        <w:rPr>
          <w:rStyle w:val="19"/>
          <w:rFonts w:hint="eastAsia" w:ascii="仿宋" w:hAnsi="仿宋" w:eastAsia="仿宋"/>
          <w:b w:val="0"/>
          <w:spacing w:val="-4"/>
          <w:sz w:val="32"/>
          <w:szCs w:val="32"/>
        </w:rPr>
      </w:pPr>
    </w:p>
    <w:p>
      <w:pPr>
        <w:spacing w:line="540" w:lineRule="exact"/>
        <w:ind w:firstLine="564" w:firstLineChars="181"/>
        <w:rPr>
          <w:rStyle w:val="19"/>
          <w:rFonts w:hint="eastAsia" w:ascii="仿宋" w:hAnsi="仿宋" w:eastAsia="仿宋"/>
          <w:b w:val="0"/>
          <w:spacing w:val="-4"/>
          <w:sz w:val="32"/>
          <w:szCs w:val="32"/>
        </w:rPr>
      </w:pPr>
    </w:p>
    <w:p>
      <w:pPr>
        <w:spacing w:line="540" w:lineRule="exact"/>
        <w:ind w:firstLine="564" w:firstLineChars="181"/>
        <w:rPr>
          <w:rStyle w:val="19"/>
          <w:rFonts w:hint="eastAsia" w:ascii="仿宋" w:hAnsi="仿宋" w:eastAsia="仿宋"/>
          <w:b w:val="0"/>
          <w:spacing w:val="-4"/>
          <w:sz w:val="32"/>
          <w:szCs w:val="32"/>
        </w:rPr>
      </w:pPr>
    </w:p>
    <w:p>
      <w:pPr>
        <w:spacing w:line="540" w:lineRule="exact"/>
        <w:ind w:firstLine="564" w:firstLineChars="181"/>
        <w:rPr>
          <w:rStyle w:val="19"/>
          <w:rFonts w:hint="eastAsia" w:ascii="仿宋" w:hAnsi="仿宋" w:eastAsia="仿宋"/>
          <w:b w:val="0"/>
          <w:spacing w:val="-4"/>
          <w:sz w:val="32"/>
          <w:szCs w:val="32"/>
        </w:rPr>
      </w:pPr>
    </w:p>
    <w:p>
      <w:pPr>
        <w:spacing w:line="540" w:lineRule="exact"/>
        <w:ind w:firstLine="564" w:firstLineChars="181"/>
        <w:rPr>
          <w:rStyle w:val="19"/>
          <w:rFonts w:hint="eastAsia" w:ascii="仿宋" w:hAnsi="仿宋" w:eastAsia="仿宋"/>
          <w:b w:val="0"/>
          <w:spacing w:val="-4"/>
          <w:sz w:val="32"/>
          <w:szCs w:val="32"/>
        </w:rPr>
      </w:pPr>
    </w:p>
    <w:p>
      <w:pPr>
        <w:spacing w:line="540" w:lineRule="exact"/>
        <w:ind w:firstLine="564" w:firstLineChars="181"/>
        <w:rPr>
          <w:rStyle w:val="19"/>
          <w:rFonts w:hint="eastAsia" w:ascii="仿宋" w:hAnsi="仿宋" w:eastAsia="仿宋"/>
          <w:b w:val="0"/>
          <w:spacing w:val="-4"/>
          <w:sz w:val="32"/>
          <w:szCs w:val="32"/>
        </w:rPr>
      </w:pPr>
    </w:p>
    <w:p>
      <w:pPr>
        <w:spacing w:line="540" w:lineRule="exact"/>
        <w:ind w:firstLine="564" w:firstLineChars="181"/>
        <w:rPr>
          <w:rStyle w:val="19"/>
          <w:rFonts w:hint="eastAsia" w:ascii="仿宋" w:hAnsi="仿宋" w:eastAsia="仿宋"/>
          <w:b w:val="0"/>
          <w:spacing w:val="-4"/>
          <w:sz w:val="32"/>
          <w:szCs w:val="32"/>
        </w:rPr>
      </w:pPr>
    </w:p>
    <w:p>
      <w:pPr>
        <w:spacing w:line="540" w:lineRule="exact"/>
        <w:ind w:firstLine="564" w:firstLineChars="181"/>
        <w:rPr>
          <w:rStyle w:val="19"/>
          <w:rFonts w:hint="eastAsia" w:ascii="仿宋" w:hAnsi="仿宋" w:eastAsia="仿宋"/>
          <w:b w:val="0"/>
          <w:spacing w:val="-4"/>
          <w:sz w:val="32"/>
          <w:szCs w:val="32"/>
        </w:rPr>
      </w:pPr>
    </w:p>
    <w:p>
      <w:pPr>
        <w:spacing w:line="540" w:lineRule="exact"/>
        <w:ind w:firstLine="564" w:firstLineChars="181"/>
        <w:rPr>
          <w:rStyle w:val="19"/>
          <w:rFonts w:hint="eastAsia" w:ascii="仿宋" w:hAnsi="仿宋" w:eastAsia="仿宋"/>
          <w:b w:val="0"/>
          <w:spacing w:val="-4"/>
          <w:sz w:val="32"/>
          <w:szCs w:val="32"/>
        </w:rPr>
      </w:pPr>
    </w:p>
    <w:p>
      <w:pPr>
        <w:spacing w:line="540" w:lineRule="exact"/>
        <w:ind w:firstLine="564" w:firstLineChars="181"/>
        <w:rPr>
          <w:rStyle w:val="19"/>
          <w:rFonts w:hint="eastAsia" w:ascii="仿宋" w:hAnsi="仿宋" w:eastAsia="仿宋"/>
          <w:b w:val="0"/>
          <w:spacing w:val="-4"/>
          <w:sz w:val="32"/>
          <w:szCs w:val="32"/>
        </w:rPr>
      </w:pPr>
    </w:p>
    <w:p>
      <w:pPr>
        <w:pStyle w:val="2"/>
        <w:rPr>
          <w:rFonts w:hint="eastAsia"/>
        </w:rPr>
      </w:pPr>
      <w:bookmarkStart w:id="0" w:name="_GoBack"/>
      <w:bookmarkEnd w:id="0"/>
    </w:p>
    <w:p>
      <w:pPr>
        <w:spacing w:line="540" w:lineRule="exact"/>
        <w:ind w:firstLine="564" w:firstLineChars="181"/>
        <w:rPr>
          <w:rStyle w:val="19"/>
          <w:rFonts w:hint="eastAsia" w:ascii="仿宋" w:hAnsi="仿宋" w:eastAsia="仿宋"/>
          <w:b w:val="0"/>
          <w:spacing w:val="-4"/>
          <w:sz w:val="32"/>
          <w:szCs w:val="32"/>
        </w:rPr>
      </w:pPr>
    </w:p>
    <w:p>
      <w:pPr>
        <w:spacing w:line="540" w:lineRule="exact"/>
        <w:ind w:firstLine="564" w:firstLineChars="181"/>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tbl>
      <w:tblPr>
        <w:tblStyle w:val="17"/>
        <w:tblW w:w="9889" w:type="dxa"/>
        <w:tblInd w:w="0" w:type="dxa"/>
        <w:tblLayout w:type="fixed"/>
        <w:tblCellMar>
          <w:top w:w="0" w:type="dxa"/>
          <w:left w:w="108" w:type="dxa"/>
          <w:bottom w:w="0" w:type="dxa"/>
          <w:right w:w="108" w:type="dxa"/>
        </w:tblCellMar>
      </w:tblPr>
      <w:tblGrid>
        <w:gridCol w:w="1272"/>
        <w:gridCol w:w="1140"/>
        <w:gridCol w:w="1132"/>
        <w:gridCol w:w="228"/>
        <w:gridCol w:w="1080"/>
        <w:gridCol w:w="880"/>
        <w:gridCol w:w="2060"/>
        <w:gridCol w:w="396"/>
        <w:gridCol w:w="1701"/>
      </w:tblGrid>
      <w:tr>
        <w:tblPrEx>
          <w:tblCellMar>
            <w:top w:w="0" w:type="dxa"/>
            <w:left w:w="108" w:type="dxa"/>
            <w:bottom w:w="0" w:type="dxa"/>
            <w:right w:w="108" w:type="dxa"/>
          </w:tblCellMar>
        </w:tblPrEx>
        <w:trPr>
          <w:trHeight w:val="405" w:hRule="atLeast"/>
        </w:trPr>
        <w:tc>
          <w:tcPr>
            <w:tcW w:w="9889" w:type="dxa"/>
            <w:gridSpan w:val="9"/>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firstLine="2168" w:firstLineChars="600"/>
              <w:rPr>
                <w:rFonts w:hint="eastAsia" w:ascii="仿宋" w:hAnsi="仿宋" w:eastAsia="仿宋" w:cs="仿宋"/>
                <w:b/>
                <w:bCs/>
                <w:color w:val="auto"/>
                <w:kern w:val="0"/>
                <w:sz w:val="36"/>
                <w:szCs w:val="36"/>
              </w:rPr>
            </w:pPr>
            <w:r>
              <w:rPr>
                <w:rFonts w:hint="eastAsia" w:ascii="仿宋" w:hAnsi="仿宋" w:eastAsia="仿宋" w:cs="仿宋"/>
                <w:b/>
                <w:bCs/>
                <w:color w:val="auto"/>
                <w:kern w:val="0"/>
                <w:sz w:val="36"/>
                <w:szCs w:val="36"/>
              </w:rPr>
              <w:t>玛纳斯县财政项目支出绩效自评表</w:t>
            </w:r>
          </w:p>
        </w:tc>
      </w:tr>
      <w:tr>
        <w:tblPrEx>
          <w:tblCellMar>
            <w:top w:w="0" w:type="dxa"/>
            <w:left w:w="108" w:type="dxa"/>
            <w:bottom w:w="0" w:type="dxa"/>
            <w:right w:w="108" w:type="dxa"/>
          </w:tblCellMar>
        </w:tblPrEx>
        <w:trPr>
          <w:trHeight w:val="285" w:hRule="atLeast"/>
        </w:trPr>
        <w:tc>
          <w:tcPr>
            <w:tcW w:w="9889" w:type="dxa"/>
            <w:gridSpan w:val="9"/>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auto"/>
                <w:kern w:val="0"/>
                <w:sz w:val="36"/>
                <w:szCs w:val="36"/>
              </w:rPr>
            </w:pPr>
            <w:r>
              <w:rPr>
                <w:rFonts w:hint="eastAsia" w:ascii="仿宋" w:hAnsi="仿宋" w:eastAsia="仿宋" w:cs="仿宋"/>
                <w:color w:val="auto"/>
                <w:kern w:val="0"/>
                <w:sz w:val="36"/>
                <w:szCs w:val="36"/>
              </w:rPr>
              <w:t>（201</w:t>
            </w:r>
            <w:r>
              <w:rPr>
                <w:rFonts w:hint="eastAsia" w:ascii="仿宋" w:hAnsi="仿宋" w:eastAsia="仿宋" w:cs="仿宋"/>
                <w:color w:val="auto"/>
                <w:kern w:val="0"/>
                <w:sz w:val="36"/>
                <w:szCs w:val="36"/>
                <w:lang w:val="en-US" w:eastAsia="zh-CN"/>
              </w:rPr>
              <w:t>8</w:t>
            </w:r>
            <w:r>
              <w:rPr>
                <w:rFonts w:hint="eastAsia" w:ascii="仿宋" w:hAnsi="仿宋" w:eastAsia="仿宋" w:cs="仿宋"/>
                <w:color w:val="auto"/>
                <w:kern w:val="0"/>
                <w:sz w:val="36"/>
                <w:szCs w:val="36"/>
              </w:rPr>
              <w:t>年度）</w:t>
            </w:r>
          </w:p>
        </w:tc>
      </w:tr>
      <w:tr>
        <w:tblPrEx>
          <w:tblCellMar>
            <w:top w:w="0" w:type="dxa"/>
            <w:left w:w="108" w:type="dxa"/>
            <w:bottom w:w="0" w:type="dxa"/>
            <w:right w:w="108" w:type="dxa"/>
          </w:tblCellMar>
        </w:tblPrEx>
        <w:trPr>
          <w:trHeight w:val="285" w:hRule="atLeast"/>
        </w:trPr>
        <w:tc>
          <w:tcPr>
            <w:tcW w:w="1272" w:type="dxa"/>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auto"/>
                <w:kern w:val="0"/>
                <w:sz w:val="36"/>
                <w:szCs w:val="36"/>
              </w:rPr>
            </w:pPr>
          </w:p>
        </w:tc>
        <w:tc>
          <w:tcPr>
            <w:tcW w:w="1140" w:type="dxa"/>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auto"/>
                <w:kern w:val="0"/>
                <w:sz w:val="36"/>
                <w:szCs w:val="36"/>
              </w:rPr>
            </w:pPr>
          </w:p>
        </w:tc>
        <w:tc>
          <w:tcPr>
            <w:tcW w:w="1360" w:type="dxa"/>
            <w:gridSpan w:val="2"/>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auto"/>
                <w:kern w:val="0"/>
                <w:sz w:val="36"/>
                <w:szCs w:val="36"/>
              </w:rPr>
            </w:pPr>
          </w:p>
        </w:tc>
        <w:tc>
          <w:tcPr>
            <w:tcW w:w="1080" w:type="dxa"/>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auto"/>
                <w:kern w:val="0"/>
                <w:sz w:val="36"/>
                <w:szCs w:val="36"/>
              </w:rPr>
            </w:pPr>
          </w:p>
        </w:tc>
        <w:tc>
          <w:tcPr>
            <w:tcW w:w="880" w:type="dxa"/>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auto"/>
                <w:kern w:val="0"/>
                <w:sz w:val="36"/>
                <w:szCs w:val="36"/>
              </w:rPr>
            </w:pPr>
          </w:p>
        </w:tc>
        <w:tc>
          <w:tcPr>
            <w:tcW w:w="2060" w:type="dxa"/>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auto"/>
                <w:kern w:val="0"/>
                <w:sz w:val="36"/>
                <w:szCs w:val="36"/>
              </w:rPr>
            </w:pPr>
          </w:p>
        </w:tc>
        <w:tc>
          <w:tcPr>
            <w:tcW w:w="2097" w:type="dxa"/>
            <w:gridSpan w:val="2"/>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auto"/>
                <w:kern w:val="0"/>
                <w:sz w:val="36"/>
                <w:szCs w:val="36"/>
              </w:rPr>
            </w:pPr>
          </w:p>
        </w:tc>
      </w:tr>
      <w:tr>
        <w:tblPrEx>
          <w:tblCellMar>
            <w:top w:w="0" w:type="dxa"/>
            <w:left w:w="108" w:type="dxa"/>
            <w:bottom w:w="0" w:type="dxa"/>
            <w:right w:w="108" w:type="dxa"/>
          </w:tblCellMar>
        </w:tblPrEx>
        <w:trPr>
          <w:trHeight w:val="420" w:hRule="atLeast"/>
        </w:trPr>
        <w:tc>
          <w:tcPr>
            <w:tcW w:w="377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项目名称</w:t>
            </w:r>
          </w:p>
        </w:tc>
        <w:tc>
          <w:tcPr>
            <w:tcW w:w="611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重点税源监控项目</w:t>
            </w:r>
          </w:p>
        </w:tc>
      </w:tr>
      <w:tr>
        <w:tblPrEx>
          <w:tblCellMar>
            <w:top w:w="0" w:type="dxa"/>
            <w:left w:w="108" w:type="dxa"/>
            <w:bottom w:w="0" w:type="dxa"/>
            <w:right w:w="108" w:type="dxa"/>
          </w:tblCellMar>
        </w:tblPrEx>
        <w:trPr>
          <w:trHeight w:val="435" w:hRule="atLeast"/>
        </w:trPr>
        <w:tc>
          <w:tcPr>
            <w:tcW w:w="377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预算单位</w:t>
            </w:r>
          </w:p>
        </w:tc>
        <w:tc>
          <w:tcPr>
            <w:tcW w:w="611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玛纳斯县财政局</w:t>
            </w:r>
          </w:p>
        </w:tc>
      </w:tr>
      <w:tr>
        <w:tblPrEx>
          <w:tblCellMar>
            <w:top w:w="0" w:type="dxa"/>
            <w:left w:w="108" w:type="dxa"/>
            <w:bottom w:w="0" w:type="dxa"/>
            <w:right w:w="108" w:type="dxa"/>
          </w:tblCellMar>
        </w:tblPrEx>
        <w:trPr>
          <w:trHeight w:val="465" w:hRule="atLeast"/>
        </w:trPr>
        <w:tc>
          <w:tcPr>
            <w:tcW w:w="12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预算</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执行</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情况</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万元）</w:t>
            </w:r>
          </w:p>
        </w:tc>
        <w:tc>
          <w:tcPr>
            <w:tcW w:w="250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预算数：</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0.6</w:t>
            </w:r>
            <w:r>
              <w:rPr>
                <w:rFonts w:hint="eastAsia" w:ascii="宋体" w:hAnsi="宋体" w:eastAsia="宋体" w:cs="宋体"/>
                <w:spacing w:val="-4"/>
                <w:sz w:val="20"/>
                <w:szCs w:val="20"/>
                <w:lang w:eastAsia="zh-CN"/>
              </w:rPr>
              <w:t>万元</w:t>
            </w:r>
          </w:p>
        </w:tc>
        <w:tc>
          <w:tcPr>
            <w:tcW w:w="24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执行数：</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0.6</w:t>
            </w:r>
            <w:r>
              <w:rPr>
                <w:rFonts w:hint="eastAsia" w:ascii="宋体" w:hAnsi="宋体" w:eastAsia="宋体" w:cs="宋体"/>
                <w:spacing w:val="-4"/>
                <w:sz w:val="20"/>
                <w:szCs w:val="20"/>
                <w:lang w:eastAsia="zh-CN"/>
              </w:rPr>
              <w:t>万元</w:t>
            </w:r>
          </w:p>
        </w:tc>
      </w:tr>
      <w:tr>
        <w:tblPrEx>
          <w:tblCellMar>
            <w:top w:w="0" w:type="dxa"/>
            <w:left w:w="108" w:type="dxa"/>
            <w:bottom w:w="0" w:type="dxa"/>
            <w:right w:w="108" w:type="dxa"/>
          </w:tblCellMar>
        </w:tblPrEx>
        <w:trPr>
          <w:trHeight w:val="509"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250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其中：财政拨款</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0.6</w:t>
            </w:r>
            <w:r>
              <w:rPr>
                <w:rFonts w:hint="eastAsia" w:ascii="宋体" w:hAnsi="宋体" w:eastAsia="宋体" w:cs="宋体"/>
                <w:spacing w:val="-4"/>
                <w:sz w:val="20"/>
                <w:szCs w:val="20"/>
                <w:lang w:eastAsia="zh-CN"/>
              </w:rPr>
              <w:t>万元</w:t>
            </w:r>
          </w:p>
        </w:tc>
        <w:tc>
          <w:tcPr>
            <w:tcW w:w="24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其中：财政拨款</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0.6</w:t>
            </w:r>
            <w:r>
              <w:rPr>
                <w:rFonts w:hint="eastAsia" w:ascii="宋体" w:hAnsi="宋体" w:eastAsia="宋体" w:cs="宋体"/>
                <w:spacing w:val="-4"/>
                <w:sz w:val="20"/>
                <w:szCs w:val="20"/>
                <w:lang w:eastAsia="zh-CN"/>
              </w:rPr>
              <w:t>万元</w:t>
            </w:r>
          </w:p>
        </w:tc>
      </w:tr>
      <w:tr>
        <w:tblPrEx>
          <w:tblCellMar>
            <w:top w:w="0" w:type="dxa"/>
            <w:left w:w="108" w:type="dxa"/>
            <w:bottom w:w="0" w:type="dxa"/>
            <w:right w:w="108" w:type="dxa"/>
          </w:tblCellMar>
        </w:tblPrEx>
        <w:trPr>
          <w:trHeight w:val="439"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250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其他资金</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　</w:t>
            </w:r>
          </w:p>
        </w:tc>
        <w:tc>
          <w:tcPr>
            <w:tcW w:w="24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其他资金</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　</w:t>
            </w:r>
          </w:p>
        </w:tc>
      </w:tr>
      <w:tr>
        <w:tblPrEx>
          <w:tblCellMar>
            <w:top w:w="0" w:type="dxa"/>
            <w:left w:w="108" w:type="dxa"/>
            <w:bottom w:w="0" w:type="dxa"/>
            <w:right w:w="108" w:type="dxa"/>
          </w:tblCellMar>
        </w:tblPrEx>
        <w:trPr>
          <w:trHeight w:val="450" w:hRule="atLeast"/>
        </w:trPr>
        <w:tc>
          <w:tcPr>
            <w:tcW w:w="12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年度</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目标</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完成</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情况</w:t>
            </w:r>
          </w:p>
        </w:tc>
        <w:tc>
          <w:tcPr>
            <w:tcW w:w="44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预期目标</w:t>
            </w:r>
          </w:p>
        </w:tc>
        <w:tc>
          <w:tcPr>
            <w:tcW w:w="415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实际完成目标</w:t>
            </w:r>
          </w:p>
        </w:tc>
      </w:tr>
      <w:tr>
        <w:tblPrEx>
          <w:tblCellMar>
            <w:top w:w="0" w:type="dxa"/>
            <w:left w:w="108" w:type="dxa"/>
            <w:bottom w:w="0" w:type="dxa"/>
            <w:right w:w="108" w:type="dxa"/>
          </w:tblCellMar>
        </w:tblPrEx>
        <w:trPr>
          <w:trHeight w:val="1652"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4460" w:type="dxa"/>
            <w:gridSpan w:val="5"/>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　按照财政部的要求对玛纳斯县域内的三家重点企业经营情况进行全面了解掌握，从而为财政部今后制定涉企相关税收政策提供依据。</w:t>
            </w:r>
          </w:p>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4157" w:type="dxa"/>
            <w:gridSpan w:val="3"/>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调查样本企业的基本信息、有关生产经营、财务和税收数据，包括：样本企业每个季度的资产负债表、利润表及附注、纳税申报表及附表中的财务会计、税收类数据以及相关生产经营类数据，填报《全国重点企业税源调查快报指标》。</w:t>
            </w:r>
          </w:p>
        </w:tc>
      </w:tr>
      <w:tr>
        <w:tblPrEx>
          <w:tblCellMar>
            <w:top w:w="0" w:type="dxa"/>
            <w:left w:w="108" w:type="dxa"/>
            <w:bottom w:w="0" w:type="dxa"/>
            <w:right w:w="108" w:type="dxa"/>
          </w:tblCellMar>
        </w:tblPrEx>
        <w:trPr>
          <w:trHeight w:val="926" w:hRule="atLeast"/>
        </w:trPr>
        <w:tc>
          <w:tcPr>
            <w:tcW w:w="12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年度</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绩效</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指标</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完成</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情况</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一级指标</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二级指标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jc w:val="both"/>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三级指标</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预期指标值（包含数字及文字描述）</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实际完成指标值（包含数字及文字描述）</w:t>
            </w:r>
          </w:p>
        </w:tc>
      </w:tr>
      <w:tr>
        <w:tblPrEx>
          <w:tblCellMar>
            <w:top w:w="0" w:type="dxa"/>
            <w:left w:w="108" w:type="dxa"/>
            <w:bottom w:w="0" w:type="dxa"/>
            <w:right w:w="108" w:type="dxa"/>
          </w:tblCellMar>
        </w:tblPrEx>
        <w:trPr>
          <w:trHeight w:val="480"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40" w:type="dxa"/>
            <w:vMerge w:val="restart"/>
            <w:tcBorders>
              <w:top w:val="single" w:color="auto" w:sz="4" w:space="0"/>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项目完成指标</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数量指标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both"/>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编报数量</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val="en-US" w:eastAsia="zh-CN"/>
              </w:rPr>
            </w:pPr>
            <w:r>
              <w:rPr>
                <w:rFonts w:hint="eastAsia" w:ascii="宋体" w:hAnsi="宋体" w:eastAsia="宋体" w:cs="宋体"/>
                <w:spacing w:val="-4"/>
                <w:sz w:val="20"/>
                <w:szCs w:val="20"/>
                <w:lang w:val="en-US" w:eastAsia="zh-CN"/>
              </w:rPr>
              <w:t>3家企业</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3家企业</w:t>
            </w:r>
          </w:p>
        </w:tc>
      </w:tr>
      <w:tr>
        <w:tblPrEx>
          <w:tblCellMar>
            <w:top w:w="0" w:type="dxa"/>
            <w:left w:w="108" w:type="dxa"/>
            <w:bottom w:w="0" w:type="dxa"/>
            <w:right w:w="108" w:type="dxa"/>
          </w:tblCellMar>
        </w:tblPrEx>
        <w:trPr>
          <w:trHeight w:val="480"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4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32" w:type="dxa"/>
            <w:vMerge w:val="restart"/>
            <w:tcBorders>
              <w:top w:val="single" w:color="auto" w:sz="4" w:space="0"/>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质量指标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both"/>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《全国重点企业税源调查快报指标》填报完整</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default" w:ascii="宋体" w:hAnsi="宋体" w:eastAsia="宋体" w:cs="宋体"/>
                <w:spacing w:val="-4"/>
                <w:sz w:val="20"/>
                <w:szCs w:val="20"/>
                <w:lang w:val="en-US" w:eastAsia="zh-CN"/>
              </w:rPr>
            </w:pPr>
            <w:r>
              <w:rPr>
                <w:rFonts w:hint="eastAsia" w:ascii="宋体" w:hAnsi="宋体" w:cs="宋体"/>
                <w:spacing w:val="-4"/>
                <w:sz w:val="20"/>
                <w:szCs w:val="20"/>
                <w:lang w:val="en-US" w:eastAsia="zh-CN"/>
              </w:rPr>
              <w:t>100%</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cs="宋体"/>
                <w:spacing w:val="-4"/>
                <w:sz w:val="20"/>
                <w:szCs w:val="20"/>
                <w:lang w:val="en-US" w:eastAsia="zh-CN"/>
              </w:rPr>
              <w:t>100%</w:t>
            </w:r>
          </w:p>
        </w:tc>
      </w:tr>
      <w:tr>
        <w:tblPrEx>
          <w:tblCellMar>
            <w:top w:w="0" w:type="dxa"/>
            <w:left w:w="108" w:type="dxa"/>
            <w:bottom w:w="0" w:type="dxa"/>
            <w:right w:w="108" w:type="dxa"/>
          </w:tblCellMar>
        </w:tblPrEx>
        <w:trPr>
          <w:trHeight w:val="480"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4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32"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both"/>
              <w:textAlignment w:val="top"/>
              <w:rPr>
                <w:rFonts w:hint="eastAsia" w:ascii="宋体" w:hAnsi="宋体" w:eastAsia="宋体" w:cs="宋体"/>
                <w:spacing w:val="-4"/>
                <w:sz w:val="20"/>
                <w:szCs w:val="20"/>
                <w:lang w:eastAsia="zh-CN"/>
              </w:rPr>
            </w:pPr>
            <w:r>
              <w:rPr>
                <w:rFonts w:hint="eastAsia" w:ascii="宋体" w:hAnsi="宋体" w:eastAsia="宋体" w:cs="宋体"/>
                <w:i w:val="0"/>
                <w:color w:val="000000"/>
                <w:kern w:val="0"/>
                <w:sz w:val="20"/>
                <w:szCs w:val="20"/>
                <w:u w:val="none"/>
                <w:lang w:val="en-US" w:eastAsia="zh-CN" w:bidi="ar"/>
              </w:rPr>
              <w:t>确保税源监控项目各个指标按期实施，保证质量</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center"/>
              <w:textAlignment w:val="top"/>
              <w:rPr>
                <w:rFonts w:hint="eastAsia" w:ascii="宋体" w:hAnsi="宋体" w:eastAsia="宋体" w:cs="宋体"/>
                <w:spacing w:val="-4"/>
                <w:sz w:val="20"/>
                <w:szCs w:val="20"/>
                <w:lang w:val="en-US" w:eastAsia="zh-CN"/>
              </w:rPr>
            </w:pPr>
            <w:r>
              <w:rPr>
                <w:rFonts w:hint="eastAsia" w:ascii="宋体" w:hAnsi="宋体" w:eastAsia="宋体" w:cs="宋体"/>
                <w:i w:val="0"/>
                <w:color w:val="000000"/>
                <w:kern w:val="0"/>
                <w:sz w:val="20"/>
                <w:szCs w:val="20"/>
                <w:u w:val="none"/>
                <w:lang w:val="en-US" w:eastAsia="zh-CN" w:bidi="ar"/>
              </w:rPr>
              <w:t>99%</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val="en-US" w:eastAsia="zh-CN"/>
              </w:rPr>
            </w:pPr>
            <w:r>
              <w:rPr>
                <w:rFonts w:hint="eastAsia" w:ascii="宋体" w:hAnsi="宋体" w:eastAsia="宋体" w:cs="宋体"/>
                <w:i w:val="0"/>
                <w:color w:val="000000"/>
                <w:kern w:val="0"/>
                <w:sz w:val="20"/>
                <w:szCs w:val="20"/>
                <w:u w:val="none"/>
                <w:lang w:val="en-US" w:eastAsia="zh-CN" w:bidi="ar"/>
              </w:rPr>
              <w:t>99%</w:t>
            </w:r>
          </w:p>
        </w:tc>
      </w:tr>
      <w:tr>
        <w:tblPrEx>
          <w:tblCellMar>
            <w:top w:w="0" w:type="dxa"/>
            <w:left w:w="108" w:type="dxa"/>
            <w:bottom w:w="0" w:type="dxa"/>
            <w:right w:w="108" w:type="dxa"/>
          </w:tblCellMar>
        </w:tblPrEx>
        <w:trPr>
          <w:trHeight w:val="537"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4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时效指标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both"/>
              <w:rPr>
                <w:rFonts w:hint="eastAsia" w:ascii="宋体" w:hAnsi="宋体" w:eastAsia="宋体" w:cs="宋体"/>
                <w:spacing w:val="-4"/>
                <w:sz w:val="20"/>
                <w:szCs w:val="20"/>
                <w:lang w:eastAsia="zh-CN"/>
              </w:rPr>
            </w:pPr>
            <w:r>
              <w:rPr>
                <w:rFonts w:hint="eastAsia" w:ascii="宋体" w:hAnsi="宋体" w:cs="宋体"/>
                <w:spacing w:val="-4"/>
                <w:sz w:val="20"/>
                <w:szCs w:val="20"/>
                <w:lang w:val="en-US" w:eastAsia="zh-CN"/>
              </w:rPr>
              <w:t>预算执行率</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cs="宋体"/>
                <w:spacing w:val="-4"/>
                <w:sz w:val="20"/>
                <w:szCs w:val="20"/>
                <w:lang w:val="en-US" w:eastAsia="zh-CN"/>
              </w:rPr>
              <w:t>100%</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cs="宋体"/>
                <w:spacing w:val="-4"/>
                <w:sz w:val="20"/>
                <w:szCs w:val="20"/>
                <w:lang w:val="en-US" w:eastAsia="zh-CN"/>
              </w:rPr>
              <w:t>100%</w:t>
            </w:r>
          </w:p>
        </w:tc>
      </w:tr>
      <w:tr>
        <w:tblPrEx>
          <w:tblCellMar>
            <w:top w:w="0" w:type="dxa"/>
            <w:left w:w="108" w:type="dxa"/>
            <w:bottom w:w="0" w:type="dxa"/>
            <w:right w:w="108" w:type="dxa"/>
          </w:tblCellMar>
        </w:tblPrEx>
        <w:trPr>
          <w:trHeight w:val="77"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40" w:type="dxa"/>
            <w:vMerge w:val="continue"/>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成本指标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both"/>
              <w:rPr>
                <w:rFonts w:hint="eastAsia" w:ascii="宋体" w:hAnsi="宋体" w:eastAsia="宋体" w:cs="宋体"/>
                <w:spacing w:val="-4"/>
                <w:sz w:val="20"/>
                <w:szCs w:val="20"/>
                <w:lang w:eastAsia="zh-CN"/>
              </w:rPr>
            </w:pPr>
            <w:r>
              <w:rPr>
                <w:rFonts w:hint="eastAsia"/>
              </w:rPr>
              <w:t>法治税政基层补助</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cs="宋体"/>
                <w:spacing w:val="-4"/>
                <w:sz w:val="20"/>
                <w:szCs w:val="20"/>
                <w:lang w:val="en-US" w:eastAsia="zh-CN"/>
              </w:rPr>
              <w:t>0.6万元</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cs="宋体"/>
                <w:spacing w:val="-4"/>
                <w:sz w:val="20"/>
                <w:szCs w:val="20"/>
                <w:lang w:val="en-US" w:eastAsia="zh-CN"/>
              </w:rPr>
              <w:t>0.6万元</w:t>
            </w:r>
          </w:p>
        </w:tc>
      </w:tr>
      <w:tr>
        <w:tblPrEx>
          <w:tblCellMar>
            <w:top w:w="0" w:type="dxa"/>
            <w:left w:w="108" w:type="dxa"/>
            <w:bottom w:w="0" w:type="dxa"/>
            <w:right w:w="108" w:type="dxa"/>
          </w:tblCellMar>
        </w:tblPrEx>
        <w:trPr>
          <w:trHeight w:val="480"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40"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cs="宋体"/>
                <w:spacing w:val="-4"/>
                <w:sz w:val="20"/>
                <w:szCs w:val="20"/>
                <w:lang w:eastAsia="zh-CN"/>
              </w:rPr>
              <w:t>经济</w:t>
            </w:r>
            <w:r>
              <w:rPr>
                <w:rFonts w:hint="eastAsia" w:ascii="宋体" w:hAnsi="宋体" w:eastAsia="宋体" w:cs="宋体"/>
                <w:spacing w:val="-4"/>
                <w:sz w:val="20"/>
                <w:szCs w:val="20"/>
                <w:lang w:eastAsia="zh-CN"/>
              </w:rPr>
              <w:t>效益</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jc w:val="both"/>
              <w:rPr>
                <w:rFonts w:hint="eastAsia" w:ascii="宋体" w:hAnsi="宋体" w:eastAsia="宋体" w:cs="宋体"/>
                <w:spacing w:val="-4"/>
                <w:sz w:val="20"/>
                <w:szCs w:val="20"/>
                <w:lang w:eastAsia="zh-CN"/>
              </w:rPr>
            </w:pP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p>
        </w:tc>
      </w:tr>
      <w:tr>
        <w:tblPrEx>
          <w:tblCellMar>
            <w:top w:w="0" w:type="dxa"/>
            <w:left w:w="108" w:type="dxa"/>
            <w:bottom w:w="0" w:type="dxa"/>
            <w:right w:w="108" w:type="dxa"/>
          </w:tblCellMar>
        </w:tblPrEx>
        <w:trPr>
          <w:trHeight w:val="480"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4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社会效益</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both"/>
              <w:textAlignment w:val="top"/>
              <w:rPr>
                <w:rFonts w:hint="eastAsia" w:ascii="宋体" w:hAnsi="宋体" w:eastAsia="宋体" w:cs="宋体"/>
                <w:spacing w:val="-4"/>
                <w:sz w:val="20"/>
                <w:szCs w:val="20"/>
                <w:lang w:eastAsia="zh-CN"/>
              </w:rPr>
            </w:pPr>
            <w:r>
              <w:rPr>
                <w:rFonts w:hint="eastAsia" w:ascii="宋体" w:hAnsi="宋体" w:eastAsia="宋体" w:cs="宋体"/>
                <w:i w:val="0"/>
                <w:color w:val="000000"/>
                <w:kern w:val="0"/>
                <w:sz w:val="20"/>
                <w:szCs w:val="20"/>
                <w:u w:val="none"/>
                <w:lang w:val="en-US" w:eastAsia="zh-CN" w:bidi="ar"/>
              </w:rPr>
              <w:t>为玛纳斯县重点税源监控项目正常运转提供保障</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center"/>
              <w:textAlignment w:val="top"/>
              <w:rPr>
                <w:rFonts w:hint="eastAsia" w:ascii="宋体" w:hAnsi="宋体" w:eastAsia="宋体" w:cs="宋体"/>
                <w:spacing w:val="-4"/>
                <w:sz w:val="20"/>
                <w:szCs w:val="20"/>
                <w:lang w:eastAsia="zh-CN"/>
              </w:rPr>
            </w:pPr>
            <w:r>
              <w:rPr>
                <w:rFonts w:hint="eastAsia" w:ascii="宋体" w:hAnsi="宋体" w:eastAsia="宋体" w:cs="宋体"/>
                <w:i w:val="0"/>
                <w:color w:val="000000"/>
                <w:kern w:val="0"/>
                <w:sz w:val="20"/>
                <w:szCs w:val="20"/>
                <w:u w:val="none"/>
                <w:lang w:val="en-US" w:eastAsia="zh-CN" w:bidi="ar"/>
              </w:rPr>
              <w:t>满足财政部了解掌握3户重点企业经营情况。</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center"/>
              <w:textAlignment w:val="top"/>
              <w:rPr>
                <w:rFonts w:hint="eastAsia" w:ascii="宋体" w:hAnsi="宋体" w:eastAsia="宋体" w:cs="宋体"/>
                <w:spacing w:val="-4"/>
                <w:sz w:val="20"/>
                <w:szCs w:val="20"/>
                <w:lang w:eastAsia="zh-CN"/>
              </w:rPr>
            </w:pPr>
            <w:r>
              <w:rPr>
                <w:rFonts w:hint="eastAsia" w:ascii="宋体" w:hAnsi="宋体" w:eastAsia="宋体" w:cs="宋体"/>
                <w:i w:val="0"/>
                <w:color w:val="000000"/>
                <w:kern w:val="0"/>
                <w:sz w:val="20"/>
                <w:szCs w:val="20"/>
                <w:u w:val="none"/>
                <w:lang w:val="en-US" w:eastAsia="zh-CN" w:bidi="ar"/>
              </w:rPr>
              <w:t>满足财政部了解掌握3户重点企业经营情况。</w:t>
            </w:r>
          </w:p>
        </w:tc>
      </w:tr>
      <w:tr>
        <w:tblPrEx>
          <w:tblCellMar>
            <w:top w:w="0" w:type="dxa"/>
            <w:left w:w="108" w:type="dxa"/>
            <w:bottom w:w="0" w:type="dxa"/>
            <w:right w:w="108" w:type="dxa"/>
          </w:tblCellMar>
        </w:tblPrEx>
        <w:trPr>
          <w:trHeight w:val="480"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4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cs="宋体"/>
                <w:spacing w:val="-4"/>
                <w:sz w:val="20"/>
                <w:szCs w:val="20"/>
                <w:lang w:eastAsia="zh-CN"/>
              </w:rPr>
              <w:t>生态</w:t>
            </w:r>
            <w:r>
              <w:rPr>
                <w:rFonts w:hint="eastAsia" w:ascii="宋体" w:hAnsi="宋体" w:eastAsia="宋体" w:cs="宋体"/>
                <w:spacing w:val="-4"/>
                <w:sz w:val="20"/>
                <w:szCs w:val="20"/>
                <w:lang w:eastAsia="zh-CN"/>
              </w:rPr>
              <w:t>效益</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firstLine="384" w:firstLineChars="200"/>
              <w:jc w:val="both"/>
              <w:rPr>
                <w:rFonts w:hint="eastAsia" w:ascii="宋体" w:hAnsi="宋体" w:eastAsia="宋体" w:cs="宋体"/>
                <w:spacing w:val="-4"/>
                <w:sz w:val="20"/>
                <w:szCs w:val="20"/>
                <w:lang w:eastAsia="zh-CN"/>
              </w:rPr>
            </w:pP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p>
        </w:tc>
      </w:tr>
      <w:tr>
        <w:tblPrEx>
          <w:tblCellMar>
            <w:top w:w="0" w:type="dxa"/>
            <w:left w:w="108" w:type="dxa"/>
            <w:bottom w:w="0" w:type="dxa"/>
            <w:right w:w="108" w:type="dxa"/>
          </w:tblCellMar>
        </w:tblPrEx>
        <w:trPr>
          <w:trHeight w:val="480"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40" w:type="dxa"/>
            <w:vMerge w:val="continue"/>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default" w:ascii="宋体" w:hAnsi="宋体" w:eastAsia="宋体" w:cs="宋体"/>
                <w:spacing w:val="-4"/>
                <w:sz w:val="20"/>
                <w:szCs w:val="20"/>
                <w:lang w:val="en-US" w:eastAsia="zh-CN"/>
              </w:rPr>
            </w:pPr>
            <w:r>
              <w:rPr>
                <w:rFonts w:hint="eastAsia" w:ascii="宋体" w:hAnsi="宋体" w:cs="宋体"/>
                <w:spacing w:val="-4"/>
                <w:sz w:val="20"/>
                <w:szCs w:val="20"/>
                <w:lang w:eastAsia="zh-CN"/>
              </w:rPr>
              <w:t>可持续影响</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both"/>
              <w:textAlignment w:val="top"/>
              <w:rPr>
                <w:rFonts w:hint="eastAsia" w:ascii="宋体" w:hAnsi="宋体" w:eastAsia="宋体" w:cs="宋体"/>
                <w:spacing w:val="-4"/>
                <w:sz w:val="20"/>
                <w:szCs w:val="20"/>
                <w:lang w:eastAsia="zh-CN"/>
              </w:rPr>
            </w:pPr>
            <w:r>
              <w:rPr>
                <w:rFonts w:hint="eastAsia" w:ascii="宋体" w:hAnsi="宋体" w:eastAsia="宋体" w:cs="宋体"/>
                <w:i w:val="0"/>
                <w:color w:val="000000"/>
                <w:kern w:val="0"/>
                <w:sz w:val="20"/>
                <w:szCs w:val="20"/>
                <w:u w:val="none"/>
                <w:lang w:val="en-US" w:eastAsia="zh-CN" w:bidi="ar"/>
              </w:rPr>
              <w:t>项目持续时间</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center"/>
              <w:textAlignment w:val="top"/>
              <w:rPr>
                <w:rFonts w:hint="eastAsia" w:ascii="宋体" w:hAnsi="宋体" w:eastAsia="宋体" w:cs="宋体"/>
                <w:spacing w:val="-4"/>
                <w:sz w:val="20"/>
                <w:szCs w:val="20"/>
                <w:lang w:eastAsia="zh-CN"/>
              </w:rPr>
            </w:pPr>
            <w:r>
              <w:rPr>
                <w:rFonts w:hint="eastAsia" w:ascii="宋体" w:hAnsi="宋体" w:eastAsia="宋体" w:cs="宋体"/>
                <w:i w:val="0"/>
                <w:color w:val="000000"/>
                <w:kern w:val="0"/>
                <w:sz w:val="20"/>
                <w:szCs w:val="20"/>
                <w:u w:val="none"/>
                <w:lang w:val="en-US" w:eastAsia="zh-CN" w:bidi="ar"/>
              </w:rPr>
              <w:t>1年</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i w:val="0"/>
                <w:color w:val="000000"/>
                <w:kern w:val="0"/>
                <w:sz w:val="20"/>
                <w:szCs w:val="20"/>
                <w:u w:val="none"/>
                <w:lang w:val="en-US" w:eastAsia="zh-CN" w:bidi="ar"/>
              </w:rPr>
              <w:t>1年</w:t>
            </w:r>
          </w:p>
        </w:tc>
      </w:tr>
      <w:tr>
        <w:tblPrEx>
          <w:tblCellMar>
            <w:top w:w="0" w:type="dxa"/>
            <w:left w:w="108" w:type="dxa"/>
            <w:bottom w:w="0" w:type="dxa"/>
            <w:right w:w="108" w:type="dxa"/>
          </w:tblCellMar>
        </w:tblPrEx>
        <w:trPr>
          <w:trHeight w:val="478"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384" w:firstLineChars="200"/>
              <w:rPr>
                <w:rFonts w:hint="eastAsia" w:ascii="宋体" w:hAnsi="宋体" w:eastAsia="宋体" w:cs="宋体"/>
                <w:spacing w:val="-4"/>
                <w:sz w:val="20"/>
                <w:szCs w:val="20"/>
                <w:lang w:eastAsia="zh-CN"/>
              </w:rPr>
            </w:pP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满意度指标</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满意度指标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both"/>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接受编报服务单位满意度</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≥9</w:t>
            </w:r>
            <w:r>
              <w:rPr>
                <w:rFonts w:hint="eastAsia" w:ascii="宋体" w:hAnsi="宋体" w:eastAsia="宋体" w:cs="宋体"/>
                <w:spacing w:val="-4"/>
                <w:sz w:val="20"/>
                <w:szCs w:val="20"/>
                <w:lang w:val="en-US" w:eastAsia="zh-CN"/>
              </w:rPr>
              <w:t>6</w:t>
            </w:r>
            <w:r>
              <w:rPr>
                <w:rFonts w:hint="eastAsia" w:ascii="宋体" w:hAnsi="宋体" w:eastAsia="宋体" w:cs="宋体"/>
                <w:spacing w:val="-4"/>
                <w:sz w:val="20"/>
                <w:szCs w:val="20"/>
                <w:lang w:eastAsia="zh-CN"/>
              </w:rPr>
              <w:t>%</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≥9</w:t>
            </w:r>
            <w:r>
              <w:rPr>
                <w:rFonts w:hint="eastAsia" w:ascii="宋体" w:hAnsi="宋体" w:eastAsia="宋体" w:cs="宋体"/>
                <w:spacing w:val="-4"/>
                <w:sz w:val="20"/>
                <w:szCs w:val="20"/>
                <w:lang w:val="en-US" w:eastAsia="zh-CN"/>
              </w:rPr>
              <w:t>6</w:t>
            </w:r>
            <w:r>
              <w:rPr>
                <w:rFonts w:hint="eastAsia" w:ascii="宋体" w:hAnsi="宋体" w:eastAsia="宋体" w:cs="宋体"/>
                <w:spacing w:val="-4"/>
                <w:sz w:val="20"/>
                <w:szCs w:val="20"/>
                <w:lang w:eastAsia="zh-CN"/>
              </w:rPr>
              <w:t>%</w:t>
            </w:r>
          </w:p>
        </w:tc>
      </w:tr>
    </w:tbl>
    <w:p>
      <w:pPr>
        <w:spacing w:after="0" w:line="240" w:lineRule="auto"/>
        <w:rPr>
          <w:rStyle w:val="19"/>
          <w:rFonts w:hint="eastAsia" w:ascii="仿宋" w:hAnsi="仿宋" w:eastAsia="仿宋" w:cs="仿宋"/>
          <w:b w:val="0"/>
          <w:color w:val="auto"/>
          <w:spacing w:val="-4"/>
          <w:sz w:val="36"/>
          <w:szCs w:val="36"/>
          <w:lang w:eastAsia="zh-CN"/>
        </w:rPr>
      </w:pPr>
    </w:p>
    <w:sectPr>
      <w:footerReference r:id="rId3" w:type="default"/>
      <w:pgSz w:w="11906" w:h="16838"/>
      <w:pgMar w:top="1191" w:right="1247" w:bottom="56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宋体"/>
    <w:panose1 w:val="03000509000000000000"/>
    <w:charset w:val="86"/>
    <w:family w:val="auto"/>
    <w:pitch w:val="default"/>
    <w:sig w:usb0="00000000" w:usb1="00000000" w:usb2="00000000" w:usb3="00000000" w:csb0="00040000" w:csb1="00000000"/>
  </w:font>
  <w:font w:name="方正仿宋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方正粗黑宋简体">
    <w:panose1 w:val="02000000000000000000"/>
    <w:charset w:val="86"/>
    <w:family w:val="auto"/>
    <w:pitch w:val="default"/>
    <w:sig w:usb0="A00002BF" w:usb1="184F6CFA" w:usb2="00000012"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A8C449"/>
    <w:multiLevelType w:val="singleLevel"/>
    <w:tmpl w:val="ADA8C44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56465"/>
    <w:rsid w:val="000B745A"/>
    <w:rsid w:val="000C469D"/>
    <w:rsid w:val="001110CD"/>
    <w:rsid w:val="00114123"/>
    <w:rsid w:val="00121AE4"/>
    <w:rsid w:val="00122BE4"/>
    <w:rsid w:val="001325A7"/>
    <w:rsid w:val="00146AAD"/>
    <w:rsid w:val="0018141C"/>
    <w:rsid w:val="00187438"/>
    <w:rsid w:val="00187A2E"/>
    <w:rsid w:val="001A15D5"/>
    <w:rsid w:val="001B3A40"/>
    <w:rsid w:val="002315FD"/>
    <w:rsid w:val="002477BF"/>
    <w:rsid w:val="00252961"/>
    <w:rsid w:val="00294CEC"/>
    <w:rsid w:val="002C372E"/>
    <w:rsid w:val="002D3A7D"/>
    <w:rsid w:val="003175A7"/>
    <w:rsid w:val="0032328A"/>
    <w:rsid w:val="00352E2A"/>
    <w:rsid w:val="00371D48"/>
    <w:rsid w:val="0037372E"/>
    <w:rsid w:val="003822A7"/>
    <w:rsid w:val="003C0221"/>
    <w:rsid w:val="003C14FF"/>
    <w:rsid w:val="003C18BC"/>
    <w:rsid w:val="00412963"/>
    <w:rsid w:val="004366A8"/>
    <w:rsid w:val="00464900"/>
    <w:rsid w:val="004E5344"/>
    <w:rsid w:val="00502BA7"/>
    <w:rsid w:val="00512F9E"/>
    <w:rsid w:val="005162F1"/>
    <w:rsid w:val="0052049F"/>
    <w:rsid w:val="00522FF4"/>
    <w:rsid w:val="00534136"/>
    <w:rsid w:val="00535153"/>
    <w:rsid w:val="00554F82"/>
    <w:rsid w:val="005564AF"/>
    <w:rsid w:val="0056390D"/>
    <w:rsid w:val="00564835"/>
    <w:rsid w:val="005719B0"/>
    <w:rsid w:val="005D10D6"/>
    <w:rsid w:val="00650F45"/>
    <w:rsid w:val="006544D0"/>
    <w:rsid w:val="00741621"/>
    <w:rsid w:val="00765921"/>
    <w:rsid w:val="007806A5"/>
    <w:rsid w:val="00790B69"/>
    <w:rsid w:val="008059D6"/>
    <w:rsid w:val="00820E00"/>
    <w:rsid w:val="008225FB"/>
    <w:rsid w:val="00845391"/>
    <w:rsid w:val="00851CCD"/>
    <w:rsid w:val="00855E3A"/>
    <w:rsid w:val="00880C7B"/>
    <w:rsid w:val="0088386B"/>
    <w:rsid w:val="00891C43"/>
    <w:rsid w:val="00894F89"/>
    <w:rsid w:val="008A1914"/>
    <w:rsid w:val="008A499F"/>
    <w:rsid w:val="008C1070"/>
    <w:rsid w:val="00906B90"/>
    <w:rsid w:val="00922CB9"/>
    <w:rsid w:val="009643D3"/>
    <w:rsid w:val="009724BE"/>
    <w:rsid w:val="009A7207"/>
    <w:rsid w:val="009B767B"/>
    <w:rsid w:val="009D6BDB"/>
    <w:rsid w:val="009E5CD9"/>
    <w:rsid w:val="00A10104"/>
    <w:rsid w:val="00A26421"/>
    <w:rsid w:val="00A4293B"/>
    <w:rsid w:val="00A64E43"/>
    <w:rsid w:val="00A664B3"/>
    <w:rsid w:val="00A67D50"/>
    <w:rsid w:val="00A8691A"/>
    <w:rsid w:val="00A91C4F"/>
    <w:rsid w:val="00AC1946"/>
    <w:rsid w:val="00AD206C"/>
    <w:rsid w:val="00AF7BED"/>
    <w:rsid w:val="00B40063"/>
    <w:rsid w:val="00B41F61"/>
    <w:rsid w:val="00B51431"/>
    <w:rsid w:val="00B52783"/>
    <w:rsid w:val="00B55024"/>
    <w:rsid w:val="00BA46E6"/>
    <w:rsid w:val="00BC73A6"/>
    <w:rsid w:val="00BD11C6"/>
    <w:rsid w:val="00BD4B57"/>
    <w:rsid w:val="00BE1404"/>
    <w:rsid w:val="00C1029A"/>
    <w:rsid w:val="00C264C0"/>
    <w:rsid w:val="00C56C72"/>
    <w:rsid w:val="00CA6457"/>
    <w:rsid w:val="00D17F2E"/>
    <w:rsid w:val="00D2441E"/>
    <w:rsid w:val="00D30354"/>
    <w:rsid w:val="00D75743"/>
    <w:rsid w:val="00D808C6"/>
    <w:rsid w:val="00DB1398"/>
    <w:rsid w:val="00DF42A0"/>
    <w:rsid w:val="00E40FA3"/>
    <w:rsid w:val="00E46C51"/>
    <w:rsid w:val="00E769FE"/>
    <w:rsid w:val="00E86724"/>
    <w:rsid w:val="00EA1BC7"/>
    <w:rsid w:val="00EA2CBE"/>
    <w:rsid w:val="00EB69AF"/>
    <w:rsid w:val="00F004EA"/>
    <w:rsid w:val="00F32F4D"/>
    <w:rsid w:val="00F32FEE"/>
    <w:rsid w:val="00F54F6F"/>
    <w:rsid w:val="00F92C28"/>
    <w:rsid w:val="00FB10BB"/>
    <w:rsid w:val="00FE06D5"/>
    <w:rsid w:val="00FE53B4"/>
    <w:rsid w:val="01E578DA"/>
    <w:rsid w:val="02433279"/>
    <w:rsid w:val="02FF530B"/>
    <w:rsid w:val="0723438C"/>
    <w:rsid w:val="07B40B08"/>
    <w:rsid w:val="0A110DC0"/>
    <w:rsid w:val="0D1F21CB"/>
    <w:rsid w:val="119552FD"/>
    <w:rsid w:val="11CF2C40"/>
    <w:rsid w:val="140260D4"/>
    <w:rsid w:val="15600B1E"/>
    <w:rsid w:val="15621715"/>
    <w:rsid w:val="172E6F55"/>
    <w:rsid w:val="18B57160"/>
    <w:rsid w:val="1BF641D1"/>
    <w:rsid w:val="1C7D7038"/>
    <w:rsid w:val="1DAC5D80"/>
    <w:rsid w:val="1E226615"/>
    <w:rsid w:val="21956E61"/>
    <w:rsid w:val="2307043F"/>
    <w:rsid w:val="24851192"/>
    <w:rsid w:val="248B4030"/>
    <w:rsid w:val="292C3256"/>
    <w:rsid w:val="2A516196"/>
    <w:rsid w:val="2BD061E3"/>
    <w:rsid w:val="32EF2027"/>
    <w:rsid w:val="330522B8"/>
    <w:rsid w:val="35A15211"/>
    <w:rsid w:val="36390EFE"/>
    <w:rsid w:val="38B93DEA"/>
    <w:rsid w:val="38E1023A"/>
    <w:rsid w:val="3BAB5578"/>
    <w:rsid w:val="3C475C1A"/>
    <w:rsid w:val="40170C02"/>
    <w:rsid w:val="424E2CC0"/>
    <w:rsid w:val="42645B27"/>
    <w:rsid w:val="43412782"/>
    <w:rsid w:val="443677C2"/>
    <w:rsid w:val="48847954"/>
    <w:rsid w:val="495D334A"/>
    <w:rsid w:val="4D626038"/>
    <w:rsid w:val="54332CF2"/>
    <w:rsid w:val="54E62A7B"/>
    <w:rsid w:val="553C40C4"/>
    <w:rsid w:val="59784938"/>
    <w:rsid w:val="59AB5228"/>
    <w:rsid w:val="5C290CBF"/>
    <w:rsid w:val="5D1636C2"/>
    <w:rsid w:val="5D350B5D"/>
    <w:rsid w:val="61B2506F"/>
    <w:rsid w:val="62674594"/>
    <w:rsid w:val="63C42FF6"/>
    <w:rsid w:val="646E34F9"/>
    <w:rsid w:val="653B2AE9"/>
    <w:rsid w:val="66523C7B"/>
    <w:rsid w:val="689E5FCB"/>
    <w:rsid w:val="6A4B08FE"/>
    <w:rsid w:val="6BB83F4E"/>
    <w:rsid w:val="6C1E33CF"/>
    <w:rsid w:val="6CA61C4D"/>
    <w:rsid w:val="70CC4E4C"/>
    <w:rsid w:val="718A6BD3"/>
    <w:rsid w:val="744C2714"/>
    <w:rsid w:val="774B2FFA"/>
    <w:rsid w:val="78004FA6"/>
    <w:rsid w:val="78E97328"/>
    <w:rsid w:val="7E0A3572"/>
    <w:rsid w:val="7FFD51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405</Words>
  <Characters>2314</Characters>
  <Lines>19</Lines>
  <Paragraphs>5</Paragraphs>
  <TotalTime>0</TotalTime>
  <ScaleCrop>false</ScaleCrop>
  <LinksUpToDate>false</LinksUpToDate>
  <CharactersWithSpaces>2714</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2019-01-14T09:27:00Z</dcterms:created>
  <dc:creator>赵 恺（预算处）</dc:creator>
  <cp:lastModifiedBy>有玲o</cp:lastModifiedBy>
  <cp:lastPrinted>2019-02-18T08:59:00Z</cp:lastPrinted>
  <dcterms:modified xsi:type="dcterms:W3CDTF">2019-10-27T17:06:04Z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