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cs="宋体" w:asciiTheme="majorEastAsia" w:hAnsiTheme="majorEastAsia" w:eastAsiaTheme="majorEastAsia"/>
          <w:b/>
          <w:kern w:val="0"/>
          <w:sz w:val="44"/>
          <w:szCs w:val="44"/>
        </w:rPr>
      </w:pPr>
      <w:r>
        <w:rPr>
          <w:rFonts w:hint="eastAsia" w:cs="宋体" w:asciiTheme="majorEastAsia" w:hAnsiTheme="majorEastAsia" w:eastAsiaTheme="majorEastAsia"/>
          <w:b/>
          <w:kern w:val="0"/>
          <w:sz w:val="44"/>
          <w:szCs w:val="44"/>
        </w:rPr>
        <w:t>自治州财政项目支出绩效自评报告</w:t>
      </w:r>
    </w:p>
    <w:p>
      <w:pPr>
        <w:spacing w:line="540" w:lineRule="exact"/>
        <w:jc w:val="center"/>
        <w:rPr>
          <w:rFonts w:cs="宋体" w:asciiTheme="majorEastAsia" w:hAnsiTheme="majorEastAsia" w:eastAsiaTheme="majorEastAsia"/>
          <w:b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cs="宋体" w:asciiTheme="majorEastAsia" w:hAnsiTheme="majorEastAsia" w:eastAsiaTheme="majorEastAsia"/>
          <w:kern w:val="0"/>
          <w:sz w:val="44"/>
          <w:szCs w:val="44"/>
        </w:rPr>
      </w:pPr>
      <w:r>
        <w:rPr>
          <w:rFonts w:hint="eastAsia" w:cs="宋体" w:asciiTheme="majorEastAsia" w:hAnsiTheme="majorEastAsia" w:eastAsiaTheme="majorEastAsia"/>
          <w:kern w:val="0"/>
          <w:sz w:val="44"/>
          <w:szCs w:val="44"/>
        </w:rPr>
        <w:t>（    2018年度）</w:t>
      </w:r>
    </w:p>
    <w:p>
      <w:pPr>
        <w:spacing w:line="540" w:lineRule="exact"/>
        <w:jc w:val="center"/>
        <w:rPr>
          <w:rFonts w:cs="宋体" w:asciiTheme="minorEastAsia" w:hAnsiTheme="minorEastAsia" w:eastAsiaTheme="minorEastAsia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cs="宋体" w:asciiTheme="minorEastAsia" w:hAnsiTheme="minorEastAsia" w:eastAsiaTheme="minorEastAsia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cs="宋体" w:asciiTheme="minorEastAsia" w:hAnsiTheme="minorEastAsia" w:eastAsiaTheme="minorEastAsia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cs="宋体" w:asciiTheme="minorEastAsia" w:hAnsiTheme="minorEastAsia" w:eastAsiaTheme="minorEastAsia"/>
          <w:kern w:val="0"/>
          <w:sz w:val="30"/>
          <w:szCs w:val="30"/>
        </w:rPr>
      </w:pPr>
    </w:p>
    <w:p>
      <w:pPr>
        <w:spacing w:line="540" w:lineRule="exact"/>
        <w:rPr>
          <w:rFonts w:cs="宋体" w:asciiTheme="minorEastAsia" w:hAnsiTheme="minorEastAsia" w:eastAsiaTheme="minorEastAsia"/>
          <w:kern w:val="0"/>
          <w:sz w:val="30"/>
          <w:szCs w:val="30"/>
        </w:rPr>
      </w:pPr>
    </w:p>
    <w:p>
      <w:pPr>
        <w:spacing w:line="700" w:lineRule="exact"/>
        <w:ind w:left="2880" w:hanging="2880" w:hangingChars="800"/>
        <w:jc w:val="left"/>
        <w:rPr>
          <w:rFonts w:cs="宋体" w:asciiTheme="minorEastAsia" w:hAnsiTheme="minorEastAsia" w:eastAsiaTheme="minorEastAsia"/>
          <w:kern w:val="0"/>
          <w:sz w:val="36"/>
          <w:szCs w:val="36"/>
        </w:rPr>
      </w:pPr>
      <w:r>
        <w:rPr>
          <w:rFonts w:hint="eastAsia" w:cs="宋体" w:asciiTheme="minorEastAsia" w:hAnsiTheme="minorEastAsia" w:eastAsiaTheme="minorEastAsia"/>
          <w:kern w:val="0"/>
          <w:sz w:val="36"/>
          <w:szCs w:val="36"/>
        </w:rPr>
        <w:t xml:space="preserve">     项目名称：锅炉拆除、淘汰补助项目资金</w:t>
      </w:r>
    </w:p>
    <w:p>
      <w:pPr>
        <w:spacing w:line="700" w:lineRule="exact"/>
        <w:jc w:val="left"/>
        <w:rPr>
          <w:rFonts w:cs="宋体" w:asciiTheme="minorEastAsia" w:hAnsiTheme="minorEastAsia" w:eastAsiaTheme="minorEastAsia"/>
          <w:kern w:val="0"/>
          <w:sz w:val="36"/>
          <w:szCs w:val="36"/>
        </w:rPr>
      </w:pPr>
      <w:r>
        <w:rPr>
          <w:rFonts w:hint="eastAsia" w:cs="宋体" w:asciiTheme="minorEastAsia" w:hAnsiTheme="minorEastAsia" w:eastAsiaTheme="minorEastAsia"/>
          <w:kern w:val="0"/>
          <w:sz w:val="36"/>
          <w:szCs w:val="36"/>
        </w:rPr>
        <w:t xml:space="preserve">     实施单位（公章）：玛纳斯县环境保护局</w:t>
      </w:r>
    </w:p>
    <w:p>
      <w:pPr>
        <w:spacing w:line="700" w:lineRule="exact"/>
        <w:ind w:firstLine="850" w:firstLineChars="236"/>
        <w:jc w:val="left"/>
        <w:rPr>
          <w:rFonts w:cs="宋体" w:asciiTheme="minorEastAsia" w:hAnsiTheme="minorEastAsia" w:eastAsiaTheme="minorEastAsia"/>
          <w:kern w:val="0"/>
          <w:sz w:val="36"/>
          <w:szCs w:val="36"/>
        </w:rPr>
      </w:pPr>
      <w:r>
        <w:rPr>
          <w:rFonts w:hint="eastAsia" w:cs="宋体" w:asciiTheme="minorEastAsia" w:hAnsiTheme="minorEastAsia" w:eastAsiaTheme="minorEastAsia"/>
          <w:kern w:val="0"/>
          <w:sz w:val="36"/>
          <w:szCs w:val="36"/>
        </w:rPr>
        <w:t>主管部门（公章）：玛纳斯县人民政府</w:t>
      </w:r>
    </w:p>
    <w:p>
      <w:pPr>
        <w:spacing w:line="700" w:lineRule="exact"/>
        <w:ind w:firstLine="850" w:firstLineChars="236"/>
        <w:jc w:val="left"/>
        <w:rPr>
          <w:rFonts w:cs="宋体" w:asciiTheme="minorEastAsia" w:hAnsiTheme="minorEastAsia" w:eastAsiaTheme="minorEastAsia"/>
          <w:kern w:val="0"/>
          <w:sz w:val="36"/>
          <w:szCs w:val="36"/>
        </w:rPr>
      </w:pPr>
      <w:r>
        <w:rPr>
          <w:rFonts w:hint="eastAsia" w:cs="宋体" w:asciiTheme="minorEastAsia" w:hAnsiTheme="minorEastAsia" w:eastAsiaTheme="minorEastAsia"/>
          <w:kern w:val="0"/>
          <w:sz w:val="36"/>
          <w:szCs w:val="36"/>
        </w:rPr>
        <w:t>项目负责人（签章）：黄晓望</w:t>
      </w:r>
    </w:p>
    <w:p>
      <w:pPr>
        <w:spacing w:line="700" w:lineRule="exact"/>
        <w:ind w:firstLine="850" w:firstLineChars="236"/>
        <w:jc w:val="left"/>
        <w:rPr>
          <w:rFonts w:cs="宋体" w:asciiTheme="minorEastAsia" w:hAnsiTheme="minorEastAsia" w:eastAsiaTheme="minorEastAsia"/>
          <w:kern w:val="0"/>
          <w:sz w:val="36"/>
          <w:szCs w:val="36"/>
        </w:rPr>
      </w:pPr>
      <w:r>
        <w:rPr>
          <w:rFonts w:hint="eastAsia" w:cs="宋体" w:asciiTheme="minorEastAsia" w:hAnsiTheme="minorEastAsia" w:eastAsiaTheme="minorEastAsia"/>
          <w:kern w:val="0"/>
          <w:sz w:val="36"/>
          <w:szCs w:val="36"/>
        </w:rPr>
        <w:t>填报时间：        2019年2月13日</w:t>
      </w:r>
    </w:p>
    <w:p>
      <w:pPr>
        <w:spacing w:line="540" w:lineRule="exact"/>
        <w:jc w:val="center"/>
        <w:rPr>
          <w:rFonts w:cs="宋体" w:asciiTheme="minorEastAsia" w:hAnsiTheme="minorEastAsia" w:eastAsiaTheme="minorEastAsia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Theme="minorEastAsia" w:hAnsiTheme="minorEastAsia" w:eastAsiaTheme="minorEastAsia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Theme="minorEastAsia" w:hAnsiTheme="minorEastAsia" w:eastAsiaTheme="minorEastAsia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Theme="minorEastAsia" w:hAnsiTheme="minorEastAsia" w:eastAsiaTheme="minorEastAsia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Theme="minorEastAsia" w:hAnsiTheme="minorEastAsia" w:eastAsiaTheme="minorEastAsia"/>
          <w:b w:val="0"/>
          <w:spacing w:val="-4"/>
          <w:sz w:val="32"/>
          <w:szCs w:val="32"/>
        </w:rPr>
      </w:pPr>
      <w:r>
        <w:rPr>
          <w:rStyle w:val="18"/>
          <w:rFonts w:hint="eastAsia" w:asciiTheme="minorEastAsia" w:hAnsiTheme="minorEastAsia" w:eastAsiaTheme="minorEastAsia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482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482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1．玛纳斯县环境保护局负责重大环境问题的统筹协调和监督管理。承担落实区、州减排目标的责任。承担从源头上预防、控制环境污染和环境破坏的责任。负责环境污染防治的监督管理。指导、协调、监督生态保护工作。负责核安全和辐射安全的监督管理。负责环境监测和信息发布，开展环境保护科技工作。组织、指导和协调环境保护宣传教育工作。</w:t>
      </w:r>
    </w:p>
    <w:p>
      <w:pPr>
        <w:spacing w:line="540" w:lineRule="exact"/>
        <w:ind w:firstLine="624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2．机构情况。主要为办公室、法规科、宣教科、环评科、污控科、生态科</w:t>
      </w:r>
    </w:p>
    <w:p>
      <w:pPr>
        <w:spacing w:line="540" w:lineRule="exact"/>
        <w:ind w:firstLine="624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3．人员情况。人员编制22名，实有在职人数19人，退休人员2人。</w:t>
      </w:r>
    </w:p>
    <w:p>
      <w:pPr>
        <w:adjustRightInd w:val="0"/>
        <w:snapToGrid w:val="0"/>
        <w:spacing w:line="500" w:lineRule="exact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Theme="minorEastAsia" w:hAnsiTheme="minorEastAsia" w:eastAsiaTheme="minorEastAsia"/>
          <w:spacing w:val="-4"/>
          <w:sz w:val="32"/>
          <w:szCs w:val="32"/>
          <w:lang w:val="en-US" w:eastAsia="zh-CN"/>
        </w:rPr>
        <w:t xml:space="preserve">    （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二</w:t>
      </w:r>
      <w:r>
        <w:rPr>
          <w:rStyle w:val="18"/>
          <w:rFonts w:hint="eastAsia" w:asciiTheme="minorEastAsia" w:hAnsiTheme="minorEastAsia" w:eastAsiaTheme="minorEastAsia"/>
          <w:spacing w:val="-4"/>
          <w:sz w:val="32"/>
          <w:szCs w:val="32"/>
          <w:lang w:val="en-US" w:eastAsia="zh-CN"/>
        </w:rPr>
        <w:t>）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项目预算绩效目标设定情况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2018年底完成玛纳斯县10蒸吨以下燃煤锅炉138台拆除、凉州户镇学校锅炉1台拆除、玛纳斯县银星棉蛋白公司3台锅炉淘汰拆除、完成玛纳斯县政府10万平方米电采暖建筑改造。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/>
          <w:bCs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/>
          <w:bCs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总投资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26万元，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资金来源昌吉州排污费安排的项目专项资金26万元，本年使用投入26万元。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专项补助资金实际支付26万元。其中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：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用于完成县域10蒸吨以下燃煤锅炉淘汰拆除138台专项资金为10万元；用于凉州户镇学校锅炉1台拆除专项资金为1万元；用于玛纳斯县银星棉蛋白公司3台锅炉淘汰拆除专项资金5万元；玛纳斯县政府10万平方米电采暖建筑改造专项资金10万元。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完成率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100%。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（三）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项目资金管理情况分析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项目实施在玛纳斯县环保局的监督管理下，按照上级要求和相关锅炉管理办法要求进行淘汰和拆除，根据锅炉淘汰拆除的完成情况，进过上级验收后，按照上级要求进行拨付。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项目实施在玛纳斯县环保局的监督管理下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，由专人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严格按照资料查看与现场核查相结合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实施验收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，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验收合格后支付资金。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目前县域10蒸吨以下燃煤锅炉淘汰拆除138台，玛纳斯县凉州户镇学校1台燃煤锅炉和玛纳斯县银星棉蛋白公司3台燃煤锅炉均已拆除，玛纳斯县政府电采暖建筑改造已完成10万平方米。</w:t>
      </w:r>
    </w:p>
    <w:p>
      <w:pPr>
        <w:adjustRightInd w:val="0"/>
        <w:snapToGrid w:val="0"/>
        <w:spacing w:line="500" w:lineRule="exact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 xml:space="preserve">   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（二）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项目管理情况分析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项目实施中严格按照项目目标管理落实，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由专人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严格按照资料查看与现场核查相结合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实施验收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，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验收合格后支付资金。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对锅炉拆除进度及电采暖建设进度及时督促和监管。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 xml:space="preserve">四、项目绩效情况 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从项目环保效益、生态效益等方面对项目效益进行全面分析评价。环保效益：通过对玛纳斯县乡镇、企业锅炉拆除和玛纳斯县政府10万平方米电采暖建设，消减燃煤5000吨，减少粉尘、二氧化硫、氮氧化物等污染物的排放200吨，环境质量明显改善。生态效益：通过对锅炉拆除和10万平方米电采暖建设，减少污染物的排放，对生态环境质量改善起到积极推动作用。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项目绩效目标已完成。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五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、其他需要说明的问题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对已经淘汰拆除的锅炉杜绝违规使用，规范乡镇及企业锅炉规范管理，要求建立全过程的绩效管理机制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（二）主要经验及做法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充分发挥其他职能部门作用，和相关部门联动，共同推动项目实施。项目实施中严格按照项目目标管理落实，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由专人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严格按照资料查看与现场核查相结合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实施验收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，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验收合格后支付资金。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对锅炉拆除进度及电采暖建设进度及时督促和监管。</w:t>
      </w:r>
    </w:p>
    <w:p>
      <w:pPr>
        <w:adjustRightInd w:val="0"/>
        <w:snapToGrid w:val="0"/>
        <w:spacing w:line="500" w:lineRule="exact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（三）存在问题和建议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专项资金不能满足环保整治的需要，建议上级财政加大专项资金的投入力度。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（四）其他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 xml:space="preserve">       无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（六）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项目评价工作情况</w:t>
      </w:r>
    </w:p>
    <w:p>
      <w:pPr>
        <w:adjustRightInd w:val="0"/>
        <w:snapToGrid w:val="0"/>
        <w:spacing w:line="500" w:lineRule="exact"/>
        <w:ind w:firstLine="640" w:firstLineChars="20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综合考虑效果、影响力等各方面因素，通过环保效益、生态效益分析，最终评分结果：项目达到了预期的阶段性绩效目标，评价等次为优。</w:t>
      </w:r>
    </w:p>
    <w:p>
      <w:pPr>
        <w:spacing w:line="540" w:lineRule="exact"/>
        <w:rPr>
          <w:rStyle w:val="18"/>
          <w:rFonts w:asciiTheme="minorEastAsia" w:hAnsiTheme="minorEastAsia" w:eastAsiaTheme="minorEastAsia"/>
          <w:b w:val="0"/>
          <w:spacing w:val="-4"/>
          <w:sz w:val="32"/>
          <w:szCs w:val="32"/>
        </w:rPr>
      </w:pPr>
      <w:r>
        <w:rPr>
          <w:rStyle w:val="18"/>
          <w:rFonts w:hint="eastAsia" w:asciiTheme="minorEastAsia" w:hAnsiTheme="minorEastAsia" w:eastAsiaTheme="minorEastAsia"/>
          <w:b w:val="0"/>
          <w:spacing w:val="-4"/>
          <w:sz w:val="32"/>
          <w:szCs w:val="32"/>
          <w:lang w:val="en-US" w:eastAsia="zh-CN"/>
        </w:rPr>
        <w:t xml:space="preserve">    </w:t>
      </w:r>
      <w:bookmarkStart w:id="0" w:name="_GoBack"/>
      <w:bookmarkEnd w:id="0"/>
      <w:r>
        <w:rPr>
          <w:rStyle w:val="18"/>
          <w:rFonts w:hint="eastAsia" w:asciiTheme="minorEastAsia" w:hAnsiTheme="minorEastAsia" w:eastAsiaTheme="minorEastAsia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Theme="minorEastAsia" w:hAnsiTheme="minorEastAsia" w:eastAsiaTheme="minorEastAsia"/>
          <w:b w:val="0"/>
          <w:spacing w:val="-4"/>
          <w:sz w:val="32"/>
          <w:szCs w:val="32"/>
        </w:rPr>
      </w:pPr>
      <w:r>
        <w:rPr>
          <w:rStyle w:val="18"/>
          <w:rFonts w:hint="eastAsia" w:asciiTheme="minorEastAsia" w:hAnsiTheme="minorEastAsia" w:eastAsiaTheme="minorEastAsia"/>
          <w:b w:val="0"/>
          <w:spacing w:val="-4"/>
          <w:sz w:val="32"/>
          <w:szCs w:val="32"/>
        </w:rPr>
        <w:t>《自治州财政项目支出绩效自评表》</w:t>
      </w:r>
    </w:p>
    <w:tbl>
      <w:tblPr>
        <w:tblStyle w:val="20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32"/>
                <w:szCs w:val="32"/>
              </w:rPr>
              <w:t>自治州财政项目支出绩效自评表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（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2018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 xml:space="preserve">    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ab/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2016年度排污费安排的项目经费（第三批）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800" w:firstLineChars="400"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昌吉州环境保护局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预算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执行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情况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26元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26万元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26万元　　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0" w:firstLineChars="200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26万元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年度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目标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完成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ind w:firstLine="40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  <w:p>
            <w:pPr>
              <w:adjustRightInd w:val="0"/>
              <w:snapToGrid w:val="0"/>
              <w:spacing w:line="500" w:lineRule="exact"/>
              <w:ind w:firstLine="400" w:firstLineChars="200"/>
              <w:rPr>
                <w:rFonts w:asciiTheme="minorEastAsia" w:hAnsiTheme="minorEastAsia" w:eastAsiaTheme="minorEastAsia"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完成玛纳斯全县10蒸吨燃煤锅炉138台、县凉州户镇学校1台、玛纳斯县银星棉蛋白公司3台，电采暖建筑改造10万平方米。　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500" w:lineRule="exact"/>
              <w:ind w:firstLine="400" w:firstLineChars="200"/>
              <w:rPr>
                <w:rFonts w:asciiTheme="minorEastAsia" w:hAnsiTheme="minorEastAsia" w:eastAsiaTheme="minorEastAsia"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完成玛纳斯县10蒸吨燃煤锅炉138台，凉州户镇学校1台锅炉、玛纳斯县银星棉蛋白公司3台锅炉、电采暖建筑改造10万平方米。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年度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绩效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指标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完成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 xml:space="preserve"> 指标1：燃煤锅炉数量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142台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142台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 xml:space="preserve"> 指标2：电采暖面积（新建小区）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　10万平方米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10万平方米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</w:rPr>
              <w:t xml:space="preserve"> 指标3：涉及企业乡镇学校数量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</w:rPr>
              <w:t>　140个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</w:rPr>
              <w:t>140个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</w:rPr>
              <w:t xml:space="preserve"> 指标1：拆除燃煤锅炉标准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</w:rPr>
              <w:t>≤10蒸/吨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</w:rPr>
              <w:t>拆除的锅炉均在10蒸/吨以下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00" w:firstLineChars="100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</w:rPr>
              <w:t>指标2：节能型电采暖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</w:rPr>
              <w:t>完成了10万平方米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00" w:firstLineChars="100"/>
              <w:jc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</w:rPr>
              <w:t>10万平方米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 xml:space="preserve"> 指标1：完成燃煤锅炉拆除时间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　11月30日前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在规定时间前完成全部拆除工作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 xml:space="preserve"> 指标2：完成电采暖建筑改造时间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　2018年12月底完成10万电采暖建设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 xml:space="preserve"> 指标1：燃煤锅炉拆除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　燃煤锅炉拆除费用16万元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16万元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 xml:space="preserve"> 指标2：电采暖改造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　10万平米电采暖完成投资10万元。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10万元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经济效益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社会效益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 xml:space="preserve"> 指标1：废气减少量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　减少粉尘二氧化硫氮氧化物排放量约200吨，提高公众环境保护意识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减少污染物排放200吨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生态效益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 xml:space="preserve"> 指标1：消减燃煤量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消减了燃煤量约　5000吨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　 5000吨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 xml:space="preserve"> 指标1：持续时长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　 能够长期改善环境空气质量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　 长期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满意度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 xml:space="preserve"> 指标1：提高公众环境保护意识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≥90%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≥90%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Theme="minorEastAsia" w:hAnsiTheme="minorEastAsia" w:eastAsiaTheme="minorEastAsia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6465"/>
    <w:rsid w:val="00121AE4"/>
    <w:rsid w:val="001461C3"/>
    <w:rsid w:val="00146AAD"/>
    <w:rsid w:val="001B3A40"/>
    <w:rsid w:val="003C18BC"/>
    <w:rsid w:val="003D3110"/>
    <w:rsid w:val="00411C26"/>
    <w:rsid w:val="004366A8"/>
    <w:rsid w:val="0045481A"/>
    <w:rsid w:val="00464900"/>
    <w:rsid w:val="00502BA7"/>
    <w:rsid w:val="005162F1"/>
    <w:rsid w:val="00535153"/>
    <w:rsid w:val="00554F82"/>
    <w:rsid w:val="0056390D"/>
    <w:rsid w:val="005719B0"/>
    <w:rsid w:val="005D10D6"/>
    <w:rsid w:val="005F42E7"/>
    <w:rsid w:val="006931B8"/>
    <w:rsid w:val="0076317F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45E33"/>
    <w:rsid w:val="00DF42A0"/>
    <w:rsid w:val="00E46C51"/>
    <w:rsid w:val="00E769FE"/>
    <w:rsid w:val="00EA2CBE"/>
    <w:rsid w:val="00F32FEE"/>
    <w:rsid w:val="00FB10BB"/>
    <w:rsid w:val="013477B9"/>
    <w:rsid w:val="01CC6A15"/>
    <w:rsid w:val="02FE2696"/>
    <w:rsid w:val="02FF36B6"/>
    <w:rsid w:val="032C4CEB"/>
    <w:rsid w:val="03B97770"/>
    <w:rsid w:val="0415076F"/>
    <w:rsid w:val="04BA4661"/>
    <w:rsid w:val="04DD41F5"/>
    <w:rsid w:val="058E6AE3"/>
    <w:rsid w:val="05A91B05"/>
    <w:rsid w:val="06033691"/>
    <w:rsid w:val="0650007E"/>
    <w:rsid w:val="06DE6A03"/>
    <w:rsid w:val="099A010A"/>
    <w:rsid w:val="099D1D20"/>
    <w:rsid w:val="09A2272F"/>
    <w:rsid w:val="09E27A3F"/>
    <w:rsid w:val="0AD97B3C"/>
    <w:rsid w:val="0B657B21"/>
    <w:rsid w:val="0B7872AE"/>
    <w:rsid w:val="0BD90150"/>
    <w:rsid w:val="0C846EEC"/>
    <w:rsid w:val="0EA736E9"/>
    <w:rsid w:val="0FCF6EE5"/>
    <w:rsid w:val="10894A0A"/>
    <w:rsid w:val="10BF5147"/>
    <w:rsid w:val="110B5A92"/>
    <w:rsid w:val="115C5C07"/>
    <w:rsid w:val="12702697"/>
    <w:rsid w:val="12A17003"/>
    <w:rsid w:val="1587453E"/>
    <w:rsid w:val="16291B7D"/>
    <w:rsid w:val="178A65E0"/>
    <w:rsid w:val="182F4095"/>
    <w:rsid w:val="1A181BEC"/>
    <w:rsid w:val="1A962900"/>
    <w:rsid w:val="1B2B75B5"/>
    <w:rsid w:val="1BDA1D19"/>
    <w:rsid w:val="1CD26FF5"/>
    <w:rsid w:val="1EF03655"/>
    <w:rsid w:val="2012096F"/>
    <w:rsid w:val="2148781E"/>
    <w:rsid w:val="21E85538"/>
    <w:rsid w:val="21FB7A9F"/>
    <w:rsid w:val="223E5B6D"/>
    <w:rsid w:val="22F36C0C"/>
    <w:rsid w:val="24E31381"/>
    <w:rsid w:val="25DE2AD7"/>
    <w:rsid w:val="26572AC5"/>
    <w:rsid w:val="27F27BE9"/>
    <w:rsid w:val="29AA04F7"/>
    <w:rsid w:val="29B84FAB"/>
    <w:rsid w:val="2A6C1D69"/>
    <w:rsid w:val="2B315CB1"/>
    <w:rsid w:val="2C220400"/>
    <w:rsid w:val="2C5E1FF4"/>
    <w:rsid w:val="2D8814C4"/>
    <w:rsid w:val="2E133DFD"/>
    <w:rsid w:val="2E664223"/>
    <w:rsid w:val="2FE4758F"/>
    <w:rsid w:val="3179174B"/>
    <w:rsid w:val="33CD390E"/>
    <w:rsid w:val="33F62A4C"/>
    <w:rsid w:val="347C77D2"/>
    <w:rsid w:val="34945E7C"/>
    <w:rsid w:val="356D6CDF"/>
    <w:rsid w:val="36172519"/>
    <w:rsid w:val="36C40331"/>
    <w:rsid w:val="37164C2B"/>
    <w:rsid w:val="37D17321"/>
    <w:rsid w:val="380A2D70"/>
    <w:rsid w:val="381153F5"/>
    <w:rsid w:val="39775B35"/>
    <w:rsid w:val="3B76275B"/>
    <w:rsid w:val="3C32169A"/>
    <w:rsid w:val="3C751284"/>
    <w:rsid w:val="3C7A0E93"/>
    <w:rsid w:val="3CEE4C89"/>
    <w:rsid w:val="3D18300C"/>
    <w:rsid w:val="424464F2"/>
    <w:rsid w:val="42A45B15"/>
    <w:rsid w:val="43D551E6"/>
    <w:rsid w:val="4582783C"/>
    <w:rsid w:val="458E5BDC"/>
    <w:rsid w:val="46C25464"/>
    <w:rsid w:val="48A5668B"/>
    <w:rsid w:val="49492567"/>
    <w:rsid w:val="4B545D86"/>
    <w:rsid w:val="4BE4296D"/>
    <w:rsid w:val="4CA901CC"/>
    <w:rsid w:val="4E3B308B"/>
    <w:rsid w:val="4F850F3C"/>
    <w:rsid w:val="4FB65ED2"/>
    <w:rsid w:val="502948CB"/>
    <w:rsid w:val="508C7F90"/>
    <w:rsid w:val="511D5904"/>
    <w:rsid w:val="54FB3CB9"/>
    <w:rsid w:val="55461576"/>
    <w:rsid w:val="587322F1"/>
    <w:rsid w:val="591933B2"/>
    <w:rsid w:val="5AC05D8B"/>
    <w:rsid w:val="5CBE251B"/>
    <w:rsid w:val="5CD849E4"/>
    <w:rsid w:val="60925E15"/>
    <w:rsid w:val="60A510D5"/>
    <w:rsid w:val="60DA165C"/>
    <w:rsid w:val="6111213E"/>
    <w:rsid w:val="627D47BD"/>
    <w:rsid w:val="663872A2"/>
    <w:rsid w:val="67101CC9"/>
    <w:rsid w:val="67594AB7"/>
    <w:rsid w:val="67C5046C"/>
    <w:rsid w:val="68D82151"/>
    <w:rsid w:val="6AD27857"/>
    <w:rsid w:val="6AEA068E"/>
    <w:rsid w:val="6CD771D8"/>
    <w:rsid w:val="6D657979"/>
    <w:rsid w:val="6FBB5747"/>
    <w:rsid w:val="71E5221A"/>
    <w:rsid w:val="72B80C6A"/>
    <w:rsid w:val="73C70296"/>
    <w:rsid w:val="763E256C"/>
    <w:rsid w:val="76D71849"/>
    <w:rsid w:val="76FE08A7"/>
    <w:rsid w:val="77DC0E1D"/>
    <w:rsid w:val="78062E90"/>
    <w:rsid w:val="781D17ED"/>
    <w:rsid w:val="78611D7E"/>
    <w:rsid w:val="78FB1AFB"/>
    <w:rsid w:val="793D5681"/>
    <w:rsid w:val="79A229C6"/>
    <w:rsid w:val="7A114240"/>
    <w:rsid w:val="7A895365"/>
    <w:rsid w:val="7B6132C5"/>
    <w:rsid w:val="7C075FB7"/>
    <w:rsid w:val="7CEA1242"/>
    <w:rsid w:val="7D0070CE"/>
    <w:rsid w:val="7D073C26"/>
    <w:rsid w:val="7D1D5727"/>
    <w:rsid w:val="7D74190A"/>
    <w:rsid w:val="7DE25018"/>
    <w:rsid w:val="7EDB4076"/>
    <w:rsid w:val="7F1D78A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0"/>
    <w:rPr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7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7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7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85858" w:themeColor="text1" w:themeTint="A6"/>
    </w:rPr>
  </w:style>
  <w:style w:type="character" w:customStyle="1" w:styleId="39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7"/>
    <w:qFormat/>
    <w:uiPriority w:val="32"/>
    <w:rPr>
      <w:b/>
      <w:sz w:val="24"/>
      <w:u w:val="single"/>
    </w:rPr>
  </w:style>
  <w:style w:type="character" w:customStyle="1" w:styleId="42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390</Words>
  <Characters>2226</Characters>
  <Lines>18</Lines>
  <Paragraphs>5</Paragraphs>
  <TotalTime>0</TotalTime>
  <ScaleCrop>false</ScaleCrop>
  <LinksUpToDate>false</LinksUpToDate>
  <CharactersWithSpaces>2611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2019-10-18T09:17:00Z</dcterms:created>
  <dc:creator>赵 恺（预算处）</dc:creator>
  <cp:lastModifiedBy>Administrator</cp:lastModifiedBy>
  <cp:lastPrinted>2019-01-13T12:20:00Z</cp:lastPrinted>
  <dcterms:modified xsi:type="dcterms:W3CDTF">2019-10-18T10:31:12Z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