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   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项目名称：城市公共设施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实施单位（公章）：玛纳斯县建设局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主管部门（公章）：玛纳斯县国土局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项目负责人（签章）：吴永生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填报时间：2019年2月20日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6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79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1、宣传贯彻执行国家和上级部门有关土地、矿产的法律、法规、方针政策；组织实施国家有关土地资源、矿产资源等自然资源管理的法律、法规和规章；依照规定负责有关行政复议。负责全玛纳斯县地籍管理工作，负责组织编制全玛纳斯县地籍管理确权、登记、发证的审核工作；组织全玛纳斯县土地资源调查、地籍调查、土地统计工作，建立健全与更新土地统计台帐及薄册；负责土地使用权转让、租赁、抵押的权属管理。组织编制和实施我玛纳斯县国土规划、土地利用总体规划、矿产资源规划等综合规划和土地开发整理规划、地质灾害防治和地质遗迹保护规划等其他专项规划。参与各类建设项目用地方案、选址的论证工作。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依法保护土地所有者和使用者的合法权益，保护矿产资源国家所有权益和探矿权人、采矿权人的合法权益；监督检查乡（镇）国土资源部门行政执法和土地、矿产资源规划执行情况；承办并组织调处土地、矿产资源的权属纠纷；依法查处国土资源违法案件和测绘违法案件。负责实施土地用途管制，严格保护耕地，组织实施国家和自治区耕地保护政策和土地开发整理政策，组织基本农田保护，主管全玛纳斯县未利用土地开发、土地整理、土地复垦和耕地开发工作，确保耕地总量占补平衡。负责全玛纳斯县农用地转用、征收、征用集体土地，拆迁集体土地上房屋及其附着物工作；对全玛纳斯县征地拆迁事务性工作进行指导、协调、监督、检查，审核、汇总上报的征地报批工作。主管全玛纳斯县建设用地的征用、划拨、出让工作，承办属玛纳斯县人民政府审批的建设用地的审查报批，审核上报自治州、自治区、国务院批准的用地报批手续。会同有关部门制订土地市场管理的规章制度，规范土地市场；对土地市场地价进行监测，提出土地市场调控措施；指导和负责农村集体非农土地使用权的流转管理。组织全玛纳斯县基准地价的评估，协助上级国土资源部门开展土地估价行业管理，备案土地使用权评估价格。负责全玛纳斯县测绘工作的统一监督管理；负责全玛纳斯县地籍测绘规划、基础测绘规划和年度计划的编制与实施；组织管理全玛纳斯县基础测绘成果和地籍测绘工作，监督测绘成果质量；依法监督管理测绘市场，监督全玛纳斯县地图的编制、出版、展示、登载；负责组织玛纳斯县城区内永久性测量标志的检查维护。依法管理矿产资源探矿权、采矿权及矿业权市场，负责采矿登记、发证管理工作；负责对地质矿产勘查、矿产资源开发利用和保护，依法管理矿产资源补偿费、采矿权使用费、采矿权价款的征收使用；负责矿产资源储量管理，参与审批矿山闭坑矿山报告。负责地质灾害防治管理工作，依法组织开展地质灾害调查、预报预警和地质灾害防治，负责矿山地质环境监督管理和恢复治理；组织协调地质灾害的治理工作。管理、监督国家和地方财政拨给国土资源部门的新增建设用地有偿使用费、耕地开垦费、矿产资源补偿费、探矿权使用费、采矿权使用费等专项经费和其他资金；对国土资源系统行政事业性收费进行财务监督管理。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br w:type="textWrapping"/>
      </w:r>
      <w:r>
        <w:rPr>
          <w:rFonts w:hint="eastAsia" w:ascii="宋体" w:eastAsia="宋体"/>
          <w:kern w:val="0"/>
          <w:sz w:val="24"/>
          <w:lang w:val="en-US" w:eastAsia="zh-CN"/>
        </w:rPr>
        <w:t xml:space="preserve">    2、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机构设置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单</w:t>
      </w:r>
      <w:r>
        <w:rPr>
          <w:rFonts w:hint="eastAsia" w:ascii="仿宋_GB2312" w:eastAsia="仿宋_GB2312"/>
          <w:spacing w:val="-4"/>
          <w:sz w:val="32"/>
          <w:szCs w:val="32"/>
        </w:rPr>
        <w:t>位在职在编人数33人，临时聘任人员8人，下设6个科室，主要管理范围：全县土地利用管理，农业用地，砖厂及煤矿的设立审批。</w:t>
      </w:r>
    </w:p>
    <w:p>
      <w:pPr>
        <w:spacing w:line="540" w:lineRule="exact"/>
        <w:rPr>
          <w:rStyle w:val="6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pacing w:val="-4"/>
          <w:sz w:val="32"/>
          <w:szCs w:val="32"/>
        </w:rPr>
        <w:t xml:space="preserve">    （二）项目预算绩效目标设定情况</w:t>
      </w:r>
    </w:p>
    <w:p>
      <w:pPr>
        <w:spacing w:line="54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预期目标：修补城市道路破损油面及非机动车道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确保城市交通安全。</w:t>
      </w:r>
    </w:p>
    <w:p>
      <w:pPr>
        <w:spacing w:line="54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项目性质及用途：该项目属于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2018年城区道路修补项目</w:t>
      </w:r>
    </w:p>
    <w:p>
      <w:pPr>
        <w:spacing w:line="540" w:lineRule="exact"/>
        <w:ind w:firstLine="936" w:firstLineChars="3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6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pacing w:val="-4"/>
          <w:sz w:val="32"/>
          <w:szCs w:val="32"/>
        </w:rPr>
        <w:t>（一）项目资金安排落实、总投入等情况分析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项目总投资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9万元，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自治区专项资金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县财政安排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99万元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6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79" w:firstLineChars="18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项目概况：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对城区团结路、文化路、振兴路、中华路、幸福路、建设北路、西海路、楼南路路面坑槽进行修补，维修面积约：4500平米，城市道路油面厚度为7cm，（含切割、废料拉运、油面铺设、碾压），中华路、团结路、凤凰路、文化路部分非机动车道存在路面塌陷，坑槽较多，需重新铺设油面，面积约：1500平米。城市道路非机动车道油面厚度为5cm，（含切割、废料拉运、油面铺设、碾压），通过政府采购由新疆通汇建设集团有限公司中标，中标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9万元元，2018年已全部完工，支付工程款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9万元，执行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率</w:t>
      </w:r>
      <w:r>
        <w:rPr>
          <w:rFonts w:hint="eastAsia" w:ascii="仿宋_GB2312" w:hAnsi="仿宋_GB2312" w:eastAsia="仿宋_GB2312" w:cs="仿宋_GB2312"/>
          <w:sz w:val="32"/>
          <w:szCs w:val="32"/>
        </w:rPr>
        <w:t>达到100%。</w:t>
      </w:r>
    </w:p>
    <w:p>
      <w:pPr>
        <w:spacing w:line="540" w:lineRule="exact"/>
        <w:ind w:firstLine="567" w:firstLineChars="181"/>
        <w:rPr>
          <w:rStyle w:val="6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pacing w:val="-4"/>
          <w:sz w:val="32"/>
          <w:szCs w:val="32"/>
        </w:rPr>
        <w:t>（三）项目资金管理情况分析</w:t>
      </w:r>
    </w:p>
    <w:p>
      <w:pPr>
        <w:spacing w:line="480" w:lineRule="exact"/>
        <w:ind w:firstLine="640" w:firstLineChars="20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严格按照《中华人民共和国会计法》规范使用项目经费，按照合同签定，验收合格支付资金，会计核算科目和使用严格执行资金收支审批制度，日常的检查监督管理，为使项目资金落实到位，用到实处，局领导不定期对资金使用情况、使用范围不定期抽查，确保资金安全有效使用。</w:t>
      </w:r>
    </w:p>
    <w:p>
      <w:pPr>
        <w:spacing w:line="540" w:lineRule="exact"/>
        <w:ind w:firstLine="64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按照施工进度，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严格合同签订，落实项目的验收，做好资金支付的审核审批手续，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接受县财政局对资金使用的监督检查，确保资金运行安全。</w:t>
      </w:r>
    </w:p>
    <w:p>
      <w:pPr>
        <w:spacing w:line="540" w:lineRule="exact"/>
        <w:ind w:firstLine="64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6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pacing w:val="-4"/>
          <w:sz w:val="32"/>
          <w:szCs w:val="32"/>
        </w:rPr>
        <w:t>（一）项目组织情况分析</w:t>
      </w:r>
    </w:p>
    <w:p>
      <w:pPr>
        <w:spacing w:line="500" w:lineRule="exact"/>
        <w:ind w:left="105" w:leftChars="50" w:right="105" w:rightChars="50" w:firstLine="640" w:firstLineChars="200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1.由县委县政府召开会议，决定对本县中华路，建设北路、西海路、楼南路等13条路面及非机动车道坑槽进行修补，项目招投标情况：按照《中华人民共和国招标投标法实施条例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》、《新疆维吾尔自治区工程建设项目招标范围和规模标准规定》等相关规定和精神，通过竞争性谈判等方式进行项目招投标。首先对参标的单位资质，工程施工质量情况，工程队伍进行严格审查，然后由参标单位进行公开召标。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</w:rPr>
        <w:t xml:space="preserve"> </w:t>
      </w:r>
    </w:p>
    <w:p>
      <w:pPr>
        <w:spacing w:line="540" w:lineRule="exact"/>
        <w:ind w:firstLine="567" w:firstLineChars="181"/>
        <w:rPr>
          <w:rStyle w:val="6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pacing w:val="-4"/>
          <w:sz w:val="32"/>
          <w:szCs w:val="32"/>
        </w:rPr>
        <w:t>（二）项目管理情况分析</w:t>
      </w:r>
    </w:p>
    <w:p>
      <w:pPr>
        <w:spacing w:line="500" w:lineRule="exact"/>
        <w:ind w:left="105" w:leftChars="50" w:right="105" w:rightChars="50" w:firstLine="624" w:firstLineChars="200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该项目通过公开招标，确定</w:t>
      </w:r>
      <w:r>
        <w:rPr>
          <w:rFonts w:hint="eastAsia" w:ascii="仿宋_GB2312" w:hAnsi="仿宋_GB2312" w:eastAsia="仿宋_GB2312" w:cs="仿宋_GB2312"/>
          <w:sz w:val="32"/>
          <w:szCs w:val="32"/>
        </w:rPr>
        <w:t>新疆通汇建设集团有限公司中标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为最终中标单位，进行项目的施工建设。按照合同规定，在每个时间段进行督查验收，由监理每天对工程进度质量进行监督，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定期检查工程进度及质量，以确保工程保质保量完成。</w:t>
      </w:r>
    </w:p>
    <w:p>
      <w:pPr>
        <w:spacing w:line="540" w:lineRule="exact"/>
        <w:rPr>
          <w:rStyle w:val="6"/>
          <w:rFonts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 xml:space="preserve">      四、项目绩效情况</w:t>
      </w:r>
    </w:p>
    <w:p>
      <w:pPr>
        <w:spacing w:line="540" w:lineRule="exact"/>
        <w:ind w:firstLine="567" w:firstLineChars="181"/>
        <w:rPr>
          <w:rFonts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Fonts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1.数量指标：</w:t>
      </w:r>
      <w:r>
        <w:rPr>
          <w:rFonts w:hint="eastAsia" w:ascii="仿宋_GB2312" w:hAnsi="仿宋_GB2312" w:eastAsia="仿宋_GB2312" w:cs="仿宋_GB2312"/>
          <w:sz w:val="32"/>
          <w:szCs w:val="32"/>
        </w:rPr>
        <w:t>对城区中华路、建设北路、西海路、楼南路等13条路面及非机动车道坑槽进行修补。</w:t>
      </w:r>
    </w:p>
    <w:p>
      <w:pPr>
        <w:spacing w:line="540" w:lineRule="exact"/>
        <w:ind w:firstLine="564" w:firstLineChars="181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2.质量指标：所有项目严格遵守《城市道路管理规范》竣工验收程序按期验收，2018年验收合格率达到95%。</w:t>
      </w:r>
    </w:p>
    <w:p>
      <w:pPr>
        <w:spacing w:line="540" w:lineRule="exact"/>
        <w:ind w:firstLine="564" w:firstLineChars="181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3.社会及生态效益指标：通过该项目建设，改善城区交通安全及行人通行安全。</w:t>
      </w:r>
    </w:p>
    <w:p>
      <w:pPr>
        <w:spacing w:line="540" w:lineRule="exact"/>
        <w:ind w:firstLine="564" w:firstLineChars="181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4.可持续影响指标：该项目建成后预期能够长期使用，由住建局负责后期的管理、维护及运行工作。</w:t>
      </w:r>
    </w:p>
    <w:p>
      <w:pPr>
        <w:spacing w:line="540" w:lineRule="exact"/>
        <w:ind w:firstLine="567" w:firstLineChars="181"/>
        <w:rPr>
          <w:rFonts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7" w:firstLineChars="181"/>
        <w:rPr>
          <w:rFonts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  <w:t xml:space="preserve">     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项目已完工。</w:t>
      </w:r>
    </w:p>
    <w:p>
      <w:pPr>
        <w:spacing w:line="540" w:lineRule="exact"/>
        <w:ind w:firstLine="64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Fonts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按合同约定，由施工单位进行城市道路维修，确保城市道路的正常运行。</w:t>
      </w:r>
    </w:p>
    <w:p>
      <w:pPr>
        <w:spacing w:line="540" w:lineRule="exact"/>
        <w:ind w:firstLine="567" w:firstLineChars="181"/>
        <w:rPr>
          <w:rFonts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对城乡基础设施建设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跟踪落实、开工建设、后期管理，确保项目按要求完工；确保项目按要求完工；建立项目的支付明细，做到专款专用。</w:t>
      </w:r>
    </w:p>
    <w:p>
      <w:pPr>
        <w:spacing w:line="540" w:lineRule="exact"/>
        <w:ind w:firstLine="567" w:firstLineChars="181"/>
        <w:rPr>
          <w:rFonts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  <w:t xml:space="preserve">      其他情况无。</w:t>
      </w:r>
    </w:p>
    <w:p>
      <w:pPr>
        <w:spacing w:line="540" w:lineRule="exact"/>
        <w:ind w:firstLine="64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该项目的基础数据收集完整，资料来源真实可信，项目的施工通过公开招标的方式确定中标单位，项目现场勘验、检查、核实等情况与实际情况相符。</w:t>
      </w:r>
    </w:p>
    <w:p>
      <w:pPr>
        <w:spacing w:line="540" w:lineRule="exact"/>
        <w:ind w:firstLine="64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《玛纳斯财政项目支出绩效自评表》</w:t>
      </w:r>
    </w:p>
    <w:p>
      <w:pPr>
        <w:spacing w:line="54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4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61"/>
        <w:gridCol w:w="1339"/>
        <w:gridCol w:w="1080"/>
        <w:gridCol w:w="873"/>
        <w:gridCol w:w="2010"/>
        <w:gridCol w:w="18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885"/>
                <w:tab w:val="center" w:pos="2952"/>
              </w:tabs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城市公共设施项目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　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其中：中央财政拨款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其中：中央财政拨款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自治区财政安排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自治区财政安排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州财政安排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州财政安排</w:t>
            </w:r>
          </w:p>
        </w:tc>
        <w:tc>
          <w:tcPr>
            <w:tcW w:w="1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县财政配套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99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县财政配套</w:t>
            </w:r>
          </w:p>
        </w:tc>
        <w:tc>
          <w:tcPr>
            <w:tcW w:w="1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修补城市道路破损油面及非机动车道确保城市交通安全。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修补城市道路破损油面及非机动车道确保城市交通安全。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3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修补破损道路</w:t>
            </w: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平方米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平米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6000平</w:t>
            </w: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方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米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6000平</w:t>
            </w: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方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验收合格率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工期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90天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90天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修补破损道路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119万元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554"/>
              </w:tabs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cs="宋体"/>
                <w:kern w:val="0"/>
                <w:sz w:val="20"/>
                <w:szCs w:val="20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119万元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3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设计功能实现率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提升交通安全情况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有效改善交通安全状况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有效改善交通安全状况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建成后使用时间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建成后长期使用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建成后长期使用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3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受益群众满意度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</w:tr>
    </w:tbl>
    <w:p>
      <w:pPr>
        <w:spacing w:line="540" w:lineRule="exact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A4115"/>
    <w:rsid w:val="00053FC8"/>
    <w:rsid w:val="000E48F2"/>
    <w:rsid w:val="002D2AB9"/>
    <w:rsid w:val="002F2DEC"/>
    <w:rsid w:val="008A21FA"/>
    <w:rsid w:val="008A4115"/>
    <w:rsid w:val="008F0AF1"/>
    <w:rsid w:val="00987216"/>
    <w:rsid w:val="00F061AE"/>
    <w:rsid w:val="012314B7"/>
    <w:rsid w:val="03F040AE"/>
    <w:rsid w:val="05886E8B"/>
    <w:rsid w:val="06F80957"/>
    <w:rsid w:val="09300D54"/>
    <w:rsid w:val="0C185596"/>
    <w:rsid w:val="0E2B25C7"/>
    <w:rsid w:val="0EB9739F"/>
    <w:rsid w:val="105D5FE3"/>
    <w:rsid w:val="146C4442"/>
    <w:rsid w:val="187A363A"/>
    <w:rsid w:val="1A9A38FD"/>
    <w:rsid w:val="1D5E7AF8"/>
    <w:rsid w:val="1E512FEF"/>
    <w:rsid w:val="1E8124E4"/>
    <w:rsid w:val="20053734"/>
    <w:rsid w:val="245E79D0"/>
    <w:rsid w:val="27C9042F"/>
    <w:rsid w:val="2AAB2374"/>
    <w:rsid w:val="2C202A46"/>
    <w:rsid w:val="30E62531"/>
    <w:rsid w:val="344E4617"/>
    <w:rsid w:val="36E6161E"/>
    <w:rsid w:val="37064EE3"/>
    <w:rsid w:val="38BB3F42"/>
    <w:rsid w:val="3AA87626"/>
    <w:rsid w:val="3D50587B"/>
    <w:rsid w:val="42842535"/>
    <w:rsid w:val="43B53C80"/>
    <w:rsid w:val="45BA5C76"/>
    <w:rsid w:val="4717095D"/>
    <w:rsid w:val="48016129"/>
    <w:rsid w:val="4AFA64D9"/>
    <w:rsid w:val="4E435335"/>
    <w:rsid w:val="4E9B0BFF"/>
    <w:rsid w:val="50E01FFF"/>
    <w:rsid w:val="54177B9A"/>
    <w:rsid w:val="541E3820"/>
    <w:rsid w:val="56212123"/>
    <w:rsid w:val="563B340D"/>
    <w:rsid w:val="577E76AD"/>
    <w:rsid w:val="59E32364"/>
    <w:rsid w:val="5BE46B63"/>
    <w:rsid w:val="5BFE505B"/>
    <w:rsid w:val="5C465E4A"/>
    <w:rsid w:val="5C975883"/>
    <w:rsid w:val="5EB46839"/>
    <w:rsid w:val="5FB4116C"/>
    <w:rsid w:val="6043730D"/>
    <w:rsid w:val="61001F0C"/>
    <w:rsid w:val="616600F9"/>
    <w:rsid w:val="62A510E8"/>
    <w:rsid w:val="66EE54A4"/>
    <w:rsid w:val="67F04A72"/>
    <w:rsid w:val="6A9F5534"/>
    <w:rsid w:val="6D4C0146"/>
    <w:rsid w:val="6E58693C"/>
    <w:rsid w:val="70057682"/>
    <w:rsid w:val="70852589"/>
    <w:rsid w:val="70983D21"/>
    <w:rsid w:val="70C57636"/>
    <w:rsid w:val="72996BB0"/>
    <w:rsid w:val="73BD2312"/>
    <w:rsid w:val="74A55AC5"/>
    <w:rsid w:val="77955176"/>
    <w:rsid w:val="79213441"/>
    <w:rsid w:val="79284371"/>
    <w:rsid w:val="79474503"/>
    <w:rsid w:val="7C8872C9"/>
    <w:rsid w:val="7C921630"/>
    <w:rsid w:val="7DE919D9"/>
    <w:rsid w:val="7FAA02AD"/>
    <w:rsid w:val="7FCA03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344</Words>
  <Characters>1966</Characters>
  <Lines>16</Lines>
  <Paragraphs>4</Paragraphs>
  <TotalTime>9</TotalTime>
  <ScaleCrop>false</ScaleCrop>
  <LinksUpToDate>false</LinksUpToDate>
  <CharactersWithSpaces>2306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2019-01-28T05:06:00Z</cp:lastPrinted>
  <dcterms:modified xsi:type="dcterms:W3CDTF">2024-03-28T09:04:19Z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