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520" w:hanging="2520" w:hangingChars="7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项目名称：玛纳斯县2018年棚户区（城中村）改造项目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主管部门（公章）：玛纳斯县国土局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项目负责人（签章）：王辉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填报时间：2019年2月13日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0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00" w:lineRule="exact"/>
        <w:ind w:firstLine="567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5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1、宣传贯彻执行国家和上级部门有关土地、矿产的法律、法规、方针政策；组织实施国家有关土地资源、矿产资源等自然资源管理的法律、法规和规章；依照规定负责有关行政复议。负责全玛纳斯县地籍管理工作，负责组织编制全玛纳斯县地籍管理确权、登记、发证的审核工作；组织全玛纳斯县土地资源调查、地籍调查、土地统计工作，建立健全与更新土地统计台帐及薄册；负责土地使用权转让、租赁、抵押的权属管理。组织编制和实施我玛纳斯县国土规划、土地利用总体规划、矿产资源规划等综合规划和土地开发整理规划、地质灾害防治和地质遗迹保护规划等其他专项规划。参与各类建设项目用地方案、选址的论证工作。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依法保护土地所有者和使用者的合法权益，保护矿产资源国家所有权益和探矿权人、采矿权人的合法权益；监督检查乡（镇）国土资源部门行政执法和土地、矿产资源规划执行情况；承办并组织调处土地、矿产资源的权属纠纷；依法查处国土资源违法案件和测绘违法案件。负责实施土地用途管制，严格保护耕地，组织实施国家和自治区耕地保护政策和土地开发整理政策，组织基本农田保护，主管全玛纳斯县未利用土地开发、土地整理、土地复垦和耕地开发工作，确保耕地总量占补平衡。负责全玛纳斯县农用地转用、征收、征用集体土地，拆迁集体土地上房屋及其附着物工作；对全玛纳斯县征地拆迁事务性工作进行指导、协调、监督、检查，审核、汇总上报的征地报批工作。主管全玛纳斯县建设用地的征用、划拨、出让工作，承办属玛纳斯县人民政府审批的建设用地的审查报批，审核上报自治州、自治区、国务院批准的用地报批手续。会同有关部门制订土地市场管理的规章制度，规范土地市场；对土地市场地价进行监测，提出土地市场调控措施；指导和负责农村集体非农土地使用权的流转管理。组织全玛纳斯县基准地价的评估，协助上级国土资源部门开展土地估价行业管理，备案土地使用权评估价格。负责全玛纳斯县测绘工作的统一监督管理；负责全玛纳斯县地籍测绘规划、基础测绘规划和年度计划的编制与实施；组织管理全玛纳斯县基础测绘成果和地籍测绘工作，监督测绘成果质量；依法监督管理测绘市场，监督全玛纳斯县地图的编制、出版、展示、登载；负责组织玛纳斯县城区内永久性测量标志的检查维护。依法管理矿产资源探矿权、采矿权及矿业权市场，负责采矿登记、发证管理工作；负责对地质矿产勘查、矿产资源开发利用和保护，依法管理矿产资源补偿费、采矿权使用费、采矿权价款的征收使用；负责矿产资源储量管理，参与审批矿山闭坑矿山报告。负责地质灾害防治管理工作，依法组织开展地质灾害调查、预报预警和地质灾害防治，负责矿山地质环境监督管理和恢复治理；组织协调地质灾害的治理工作。管理、监督国家和地方财政拨给国土资源部门的新增建设用地有偿使用费、耕地开垦费、矿产资源补偿费、探矿权使用费、采矿权使用费等专项经费和其他资金；对国土资源系统行政事业性收费进行财务监督管理。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br w:type="textWrapping"/>
      </w:r>
      <w:r>
        <w:rPr>
          <w:rFonts w:hint="eastAsia" w:ascii="宋体" w:eastAsia="宋体"/>
          <w:kern w:val="0"/>
          <w:sz w:val="24"/>
          <w:lang w:val="en-US" w:eastAsia="zh-CN"/>
        </w:rPr>
        <w:t xml:space="preserve">    2、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机构设置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单</w:t>
      </w:r>
      <w:r>
        <w:rPr>
          <w:rFonts w:hint="eastAsia" w:ascii="仿宋_GB2312" w:eastAsia="仿宋_GB2312"/>
          <w:spacing w:val="-4"/>
          <w:sz w:val="32"/>
          <w:szCs w:val="32"/>
        </w:rPr>
        <w:t>位在职在编人数33人，临时聘任人员8人，下设6个科室，主要管理范围：全县土地利用管理，农业用地，砖厂及煤矿的设立审批。</w:t>
      </w:r>
    </w:p>
    <w:p>
      <w:pPr>
        <w:spacing w:line="50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700" w:lineRule="exact"/>
        <w:ind w:left="2238" w:leftChars="304" w:hanging="1600" w:hangingChars="500"/>
        <w:jc w:val="left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预期目标：</w:t>
      </w:r>
      <w:r>
        <w:rPr>
          <w:rFonts w:hint="eastAsia" w:ascii="仿宋" w:hAnsi="仿宋" w:eastAsia="仿宋" w:cs="仿宋_GB2312"/>
          <w:sz w:val="32"/>
          <w:szCs w:val="32"/>
        </w:rPr>
        <w:t>完成棚户区改造任务3300户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，改善群众生活</w:t>
      </w:r>
    </w:p>
    <w:p>
      <w:pPr>
        <w:spacing w:line="70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环境。</w:t>
      </w:r>
    </w:p>
    <w:p>
      <w:pPr>
        <w:spacing w:line="700" w:lineRule="exact"/>
        <w:ind w:left="2238" w:leftChars="304" w:hanging="1600" w:hanging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项目性质及用途：玛纳斯县2018年棚户区（城中村）改</w:t>
      </w:r>
    </w:p>
    <w:p>
      <w:pPr>
        <w:spacing w:line="70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造项目，主要用于城市棚户区改造。</w:t>
      </w:r>
    </w:p>
    <w:p>
      <w:pPr>
        <w:spacing w:line="700" w:lineRule="exact"/>
        <w:ind w:left="2238" w:leftChars="304" w:hanging="1600" w:hanging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项目主要内容及涉及范围：涉及6个社区、6个城中村共</w:t>
      </w:r>
    </w:p>
    <w:p>
      <w:pPr>
        <w:spacing w:line="70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个片区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，征收土地面积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875010.8㎡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（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1312.5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亩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)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0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0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00" w:lineRule="exact"/>
        <w:ind w:firstLine="579" w:firstLineChars="18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玛纳斯县2018年棚户区（城中村）改造项目投入5105.4204万元，资金来源为上级专项补助资金。</w:t>
      </w:r>
    </w:p>
    <w:p>
      <w:pPr>
        <w:spacing w:line="50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16"/>
          <w:rFonts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_GB2312"/>
          <w:sz w:val="32"/>
          <w:szCs w:val="32"/>
        </w:rPr>
        <w:t>该项目总投资为5105.4204万元，该项目的主要用途是完成棚户区改造任务3300户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项目涉及6个社区，6个城中村共</w:t>
      </w: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个片区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，征收土地面积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875010.8㎡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（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1312.5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亩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)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。改善群众生活环境，按照计划已全部实施，该项目现已完工，5105.4204</w:t>
      </w:r>
      <w:r>
        <w:rPr>
          <w:rFonts w:hint="eastAsia" w:ascii="仿宋" w:hAnsi="仿宋" w:eastAsia="仿宋" w:cs="仿宋"/>
          <w:sz w:val="32"/>
          <w:szCs w:val="32"/>
        </w:rPr>
        <w:t>万元补助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资金已全部支付完毕。执行率达到了100%。</w:t>
      </w:r>
    </w:p>
    <w:p>
      <w:pPr>
        <w:spacing w:line="50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00" w:lineRule="exact"/>
        <w:ind w:left="105" w:leftChars="50" w:right="105" w:rightChars="50" w:firstLine="624" w:firstLineChars="200"/>
        <w:rPr>
          <w:rStyle w:val="16"/>
          <w:rFonts w:ascii="仿宋" w:hAnsi="仿宋" w:eastAsia="仿宋" w:cs="仿宋_GB2312"/>
          <w:b w:val="0"/>
          <w:kern w:val="0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严格按照拆迁协议给拆迁户支付征收补偿款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  <w:r>
        <w:rPr>
          <w:rFonts w:hint="eastAsia" w:ascii="仿宋_GB2312" w:hAnsi="黑体" w:eastAsia="仿宋_GB2312"/>
          <w:sz w:val="32"/>
          <w:szCs w:val="32"/>
        </w:rPr>
        <w:t>严格按照《中华人民共和国会计法》规范使用项目经费，按照合同签定，验收合格支付资金，会计核算科目和使用严格执行资金收支审批制度，日常的检查监督管理，为使项目资金落实到位，用到实处，局领导不定期对资金使用情况、使用范围不定期抽查，确保资金安全有效使用。</w:t>
      </w:r>
    </w:p>
    <w:p>
      <w:pPr>
        <w:spacing w:line="500" w:lineRule="exact"/>
        <w:ind w:left="105" w:leftChars="50" w:right="105" w:rightChars="50" w:firstLine="640" w:firstLineChars="200"/>
        <w:rPr>
          <w:rStyle w:val="16"/>
          <w:rFonts w:ascii="仿宋" w:hAnsi="仿宋" w:eastAsia="仿宋" w:cs="仿宋_GB2312"/>
          <w:b w:val="0"/>
          <w:kern w:val="0"/>
          <w:sz w:val="32"/>
          <w:szCs w:val="32"/>
        </w:rPr>
      </w:pPr>
    </w:p>
    <w:p>
      <w:pPr>
        <w:spacing w:line="50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0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1.项目招投标情况：</w:t>
      </w:r>
      <w:r>
        <w:rPr>
          <w:rFonts w:ascii="仿宋" w:hAnsi="仿宋" w:eastAsia="仿宋"/>
          <w:color w:val="000000"/>
          <w:sz w:val="32"/>
          <w:szCs w:val="32"/>
        </w:rPr>
        <w:t>根据《中华人民共和国</w:t>
      </w:r>
      <w:r>
        <w:rPr>
          <w:rFonts w:hint="eastAsia" w:ascii="仿宋" w:hAnsi="仿宋" w:eastAsia="仿宋"/>
          <w:color w:val="000000"/>
          <w:sz w:val="32"/>
          <w:szCs w:val="32"/>
        </w:rPr>
        <w:t>预算</w:t>
      </w:r>
      <w:r>
        <w:rPr>
          <w:rFonts w:ascii="仿宋" w:hAnsi="仿宋" w:eastAsia="仿宋"/>
          <w:color w:val="000000"/>
          <w:sz w:val="32"/>
          <w:szCs w:val="32"/>
        </w:rPr>
        <w:t>法》</w:t>
      </w:r>
      <w:r>
        <w:rPr>
          <w:rFonts w:hint="eastAsia" w:ascii="仿宋" w:hAnsi="仿宋" w:eastAsia="仿宋"/>
          <w:color w:val="000000"/>
          <w:sz w:val="32"/>
          <w:szCs w:val="32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t>《中华人民共和国政府采购法》、</w:t>
      </w:r>
      <w:r>
        <w:rPr>
          <w:rFonts w:hint="eastAsia" w:ascii="仿宋" w:hAnsi="仿宋" w:eastAsia="仿宋"/>
          <w:color w:val="000000"/>
          <w:sz w:val="32"/>
          <w:szCs w:val="32"/>
        </w:rPr>
        <w:t>《政府采购法实施条例》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《政府购买服务管理办法（暂行）》、《财政部 住房和城乡建设部关于进一步做好棚户区改造工作的通知》（财综〔2016〕11号）、《关于做好政府购买城镇棚户区改造服务工作的指导意见》（新建保〔2016〕3号）、《自治州关于政府向社会力量购买服务的实施意见》（昌州政办发〔2015〕73号）</w:t>
      </w:r>
      <w:r>
        <w:rPr>
          <w:rFonts w:ascii="仿宋" w:hAnsi="仿宋" w:eastAsia="仿宋"/>
          <w:color w:val="000000"/>
          <w:sz w:val="32"/>
          <w:szCs w:val="32"/>
        </w:rPr>
        <w:t>等法律法规</w:t>
      </w:r>
      <w:r>
        <w:rPr>
          <w:rFonts w:hint="eastAsia" w:ascii="仿宋" w:hAnsi="仿宋" w:eastAsia="仿宋"/>
          <w:color w:val="000000"/>
          <w:sz w:val="32"/>
          <w:szCs w:val="32"/>
        </w:rPr>
        <w:t>及文件规定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通过</w:t>
      </w:r>
      <w:r>
        <w:rPr>
          <w:rFonts w:ascii="仿宋" w:hAnsi="仿宋" w:eastAsia="仿宋"/>
          <w:color w:val="000000"/>
          <w:sz w:val="32"/>
          <w:szCs w:val="32"/>
        </w:rPr>
        <w:t>政府购买服务方式</w:t>
      </w:r>
      <w:r>
        <w:rPr>
          <w:rFonts w:hint="eastAsia" w:ascii="仿宋" w:hAnsi="仿宋" w:eastAsia="仿宋"/>
          <w:color w:val="000000"/>
          <w:sz w:val="32"/>
          <w:szCs w:val="32"/>
        </w:rPr>
        <w:t>推进有关项目。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2.项目验收情况：项目已完工并验收。</w:t>
      </w:r>
    </w:p>
    <w:p>
      <w:pPr>
        <w:spacing w:line="50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0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玛纳斯县2018年棚户区（城中村）改造项目，由政府牵头，由国土局主管，由住建具体实施，此项目由县委领导专人跟踪负责</w:t>
      </w:r>
      <w:r>
        <w:rPr>
          <w:rFonts w:hint="eastAsia" w:ascii="仿宋" w:hAnsi="仿宋" w:eastAsia="仿宋"/>
          <w:spacing w:val="-4"/>
          <w:sz w:val="32"/>
          <w:szCs w:val="32"/>
        </w:rPr>
        <w:t>落实、由棚户区改造人员先进行拆迁工作，前期要做大量的工作，再对老区进行改造，每一个环节都由专人负责，以确保此工程的顺利进行。开工建设、后期管理，按要求完工；</w:t>
      </w:r>
    </w:p>
    <w:p>
      <w:pPr>
        <w:spacing w:line="500" w:lineRule="exact"/>
        <w:ind w:firstLine="624" w:firstLineChars="200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县委负责人及 住建局及拆迁办随时监督工程的进展情况。</w:t>
      </w:r>
    </w:p>
    <w:p>
      <w:pPr>
        <w:spacing w:line="500" w:lineRule="exact"/>
        <w:ind w:firstLine="64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00" w:lineRule="exact"/>
        <w:ind w:firstLine="565" w:firstLineChars="181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1.数量指标：完成</w:t>
      </w:r>
      <w:r>
        <w:rPr>
          <w:rFonts w:hint="eastAsia" w:ascii="仿宋" w:hAnsi="仿宋" w:eastAsia="仿宋" w:cs="仿宋_GB2312"/>
          <w:sz w:val="32"/>
          <w:szCs w:val="32"/>
        </w:rPr>
        <w:t>棚户区改造任务3300户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00" w:lineRule="exact"/>
        <w:ind w:firstLine="565" w:firstLineChars="181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2.质量指标：所有项目严格遵守工程建设项目验收程序按期验收，2018年验收合格率达到95%。</w:t>
      </w:r>
    </w:p>
    <w:p>
      <w:pPr>
        <w:spacing w:line="500" w:lineRule="exact"/>
        <w:ind w:firstLine="565" w:firstLineChars="181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3.社会及生态效益指标：通过该项目建设，改善居民生活环境问题。</w:t>
      </w:r>
    </w:p>
    <w:p>
      <w:pPr>
        <w:spacing w:line="500" w:lineRule="exact"/>
        <w:ind w:firstLine="565" w:firstLineChars="181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4.可持续影响指标：该项目建成后预期能够长期使用，由住建局负责后期的管理、维护及运行工作。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pacing w:val="-4"/>
          <w:sz w:val="32"/>
          <w:szCs w:val="32"/>
        </w:rPr>
        <w:t>项目已完成。</w:t>
      </w:r>
    </w:p>
    <w:p>
      <w:pPr>
        <w:spacing w:line="50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00" w:lineRule="exact"/>
        <w:ind w:left="105" w:leftChars="50" w:right="105" w:rightChars="50" w:firstLine="6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一是</w:t>
      </w:r>
      <w:r>
        <w:rPr>
          <w:rFonts w:hint="eastAsia" w:ascii="仿宋" w:hAnsi="仿宋" w:eastAsia="仿宋"/>
          <w:spacing w:val="-4"/>
          <w:sz w:val="32"/>
          <w:szCs w:val="32"/>
        </w:rPr>
        <w:t>加强保障性安居工程项目的跟踪落实、开工建设、后期管理，确保项目按要求完工。</w:t>
      </w:r>
    </w:p>
    <w:p>
      <w:pPr>
        <w:spacing w:line="500" w:lineRule="exact"/>
        <w:ind w:firstLine="627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二是</w:t>
      </w:r>
      <w:r>
        <w:rPr>
          <w:rFonts w:hint="eastAsia" w:ascii="仿宋" w:hAnsi="仿宋" w:eastAsia="仿宋"/>
          <w:spacing w:val="-4"/>
          <w:sz w:val="32"/>
          <w:szCs w:val="32"/>
        </w:rPr>
        <w:t>加强保障性安居工程项目资金管理，严格按照自治区保障性安居工程专项资金管理执行，建立收支明细，做到专款专用。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0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玛纳斯县2018年棚户区（城中村）改造项目，</w:t>
      </w:r>
      <w:r>
        <w:rPr>
          <w:rFonts w:hint="eastAsia" w:ascii="仿宋" w:hAnsi="仿宋" w:eastAsia="仿宋"/>
          <w:spacing w:val="-4"/>
          <w:sz w:val="32"/>
          <w:szCs w:val="32"/>
        </w:rPr>
        <w:t>跟踪落实、开工建设、后期管理，确保项目按要求完工；建立项目的支付明细，做到专款专用。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00" w:lineRule="exact"/>
        <w:ind w:firstLine="565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0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00" w:lineRule="exact"/>
        <w:ind w:firstLine="579" w:firstLineChars="18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该项目的基础数据收集完整，资料来源真实可信，项目现场勘验、检查、核实等情况与实际情况相符。</w:t>
      </w:r>
    </w:p>
    <w:p>
      <w:pPr>
        <w:spacing w:line="50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0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tbl>
      <w:tblPr>
        <w:tblStyle w:val="18"/>
        <w:tblW w:w="867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910"/>
        <w:gridCol w:w="1086"/>
        <w:gridCol w:w="862"/>
        <w:gridCol w:w="703"/>
        <w:gridCol w:w="1583"/>
        <w:gridCol w:w="1484"/>
        <w:gridCol w:w="14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     玛纳斯县财政项目支出绩效自评表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玛纳斯县2018年棚户区（城中村）改造项目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玛纳斯县住房和城乡建设局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棚户区改造任务3300户。</w:t>
            </w:r>
          </w:p>
        </w:tc>
        <w:tc>
          <w:tcPr>
            <w:tcW w:w="3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完成棚户区改造任务3300户。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棚户区改造任务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bCs/>
                <w:sz w:val="18"/>
                <w:szCs w:val="18"/>
              </w:rPr>
              <w:t>3300户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bCs/>
                <w:sz w:val="18"/>
                <w:szCs w:val="18"/>
              </w:rPr>
              <w:t>3300户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验收合格率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≥95%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≥95%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工期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</w:rPr>
              <w:t>≤35天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</w:rPr>
              <w:t>≤35天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FFFF" w:themeColor="background1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每户平均拆迁成本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78万元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78万元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公共服务水平提升情况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 比上年提升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比上年提升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可持续影响、指标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停车场使用时间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居民满意度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≥95%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≥95%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57" w:right="1558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微软雅黑">
    <w:altName w:val="黑体"/>
    <w:panose1 w:val="020B0503020204020204"/>
    <w:charset w:val="86"/>
    <w:family w:val="script"/>
    <w:pitch w:val="default"/>
    <w:sig w:usb0="00000000" w:usb1="00000000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B6C"/>
    <w:rsid w:val="00014106"/>
    <w:rsid w:val="000E1B29"/>
    <w:rsid w:val="00223B6C"/>
    <w:rsid w:val="00264623"/>
    <w:rsid w:val="004062AA"/>
    <w:rsid w:val="004218EA"/>
    <w:rsid w:val="004A5AF7"/>
    <w:rsid w:val="00665A4F"/>
    <w:rsid w:val="009A7B1A"/>
    <w:rsid w:val="009E6DC1"/>
    <w:rsid w:val="00AA1D20"/>
    <w:rsid w:val="00AF0DF3"/>
    <w:rsid w:val="00D3443C"/>
    <w:rsid w:val="00DC7F94"/>
    <w:rsid w:val="00EA76EA"/>
    <w:rsid w:val="00FF0913"/>
    <w:rsid w:val="195D28BA"/>
    <w:rsid w:val="26472100"/>
    <w:rsid w:val="333806C0"/>
    <w:rsid w:val="3F935B9B"/>
    <w:rsid w:val="4A6D7879"/>
    <w:rsid w:val="5178577E"/>
    <w:rsid w:val="5D1C4714"/>
    <w:rsid w:val="5DB460C1"/>
    <w:rsid w:val="60847B9A"/>
    <w:rsid w:val="6362424D"/>
    <w:rsid w:val="71995461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5">
    <w:name w:val="Default Paragraph Font"/>
    <w:unhideWhenUsed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5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文本块 Char"/>
    <w:basedOn w:val="15"/>
    <w:link w:val="29"/>
    <w:semiHidden/>
    <w:qFormat/>
    <w:uiPriority w:val="0"/>
    <w:rPr>
      <w:i/>
      <w:sz w:val="24"/>
      <w:szCs w:val="24"/>
    </w:rPr>
  </w:style>
  <w:style w:type="paragraph" w:customStyle="1" w:styleId="29">
    <w:name w:val="文本块1"/>
    <w:basedOn w:val="1"/>
    <w:next w:val="1"/>
    <w:link w:val="28"/>
    <w:qFormat/>
    <w:uiPriority w:val="0"/>
    <w:pPr>
      <w:widowControl/>
      <w:jc w:val="left"/>
    </w:pPr>
    <w:rPr>
      <w:i/>
      <w:sz w:val="24"/>
    </w:rPr>
  </w:style>
  <w:style w:type="character" w:customStyle="1" w:styleId="30">
    <w:name w:val="页脚 Char"/>
    <w:basedOn w:val="15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basedOn w:val="15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basedOn w:val="15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5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批注框文本 Char Char"/>
    <w:basedOn w:val="1"/>
    <w:link w:val="39"/>
    <w:qFormat/>
    <w:uiPriority w:val="0"/>
    <w:rPr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0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basedOn w:val="15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明显引用 Char"/>
    <w:basedOn w:val="15"/>
    <w:link w:val="37"/>
    <w:semiHidden/>
    <w:qFormat/>
    <w:uiPriority w:val="0"/>
    <w:rPr>
      <w:b/>
      <w:i/>
      <w:sz w:val="24"/>
    </w:rPr>
  </w:style>
  <w:style w:type="character" w:customStyle="1" w:styleId="41">
    <w:name w:val="不明显强调1"/>
    <w:qFormat/>
    <w:uiPriority w:val="0"/>
    <w:rPr>
      <w:i/>
      <w:color w:val="565656"/>
    </w:rPr>
  </w:style>
  <w:style w:type="character" w:customStyle="1" w:styleId="42">
    <w:name w:val="明显强调1"/>
    <w:basedOn w:val="15"/>
    <w:qFormat/>
    <w:uiPriority w:val="0"/>
    <w:rPr>
      <w:b/>
      <w:i/>
      <w:sz w:val="24"/>
      <w:szCs w:val="24"/>
      <w:u w:val="single"/>
    </w:rPr>
  </w:style>
  <w:style w:type="character" w:customStyle="1" w:styleId="43">
    <w:name w:val="不明显参考1"/>
    <w:basedOn w:val="15"/>
    <w:qFormat/>
    <w:uiPriority w:val="0"/>
    <w:rPr>
      <w:sz w:val="24"/>
      <w:szCs w:val="24"/>
      <w:u w:val="single"/>
    </w:rPr>
  </w:style>
  <w:style w:type="character" w:customStyle="1" w:styleId="44">
    <w:name w:val="明显参考1"/>
    <w:basedOn w:val="15"/>
    <w:qFormat/>
    <w:uiPriority w:val="0"/>
    <w:rPr>
      <w:b/>
      <w:sz w:val="24"/>
      <w:u w:val="single"/>
    </w:rPr>
  </w:style>
  <w:style w:type="character" w:customStyle="1" w:styleId="45">
    <w:name w:val="书籍标题1"/>
    <w:basedOn w:val="15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377</Words>
  <Characters>2149</Characters>
  <Lines>17</Lines>
  <Paragraphs>5</Paragraphs>
  <TotalTime>0</TotalTime>
  <ScaleCrop>false</ScaleCrop>
  <LinksUpToDate>false</LinksUpToDate>
  <CharactersWithSpaces>2521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2018-08-16T02:06:00Z</dcterms:created>
  <dc:creator>赵 恺（预算处）</dc:creator>
  <cp:lastModifiedBy>Administrator</cp:lastModifiedBy>
  <cp:lastPrinted>2019-01-14T12:20:00Z</cp:lastPrinted>
  <dcterms:modified xsi:type="dcterms:W3CDTF">2019-10-18T11:33:13Z</dcterms:modified>
  <dc:title>Administrator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