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ind w:left="2518" w:leftChars="342" w:hanging="1800" w:hangingChars="500"/>
        <w:jc w:val="left"/>
        <w:rPr>
          <w:rFonts w:hint="eastAsia" w:hAnsi="宋体" w:eastAsia="仿宋_GB2312" w:cs="宋体"/>
          <w:kern w:val="0"/>
          <w:sz w:val="32"/>
          <w:szCs w:val="32"/>
          <w:lang w:val="en-US" w:eastAsia="zh-CN"/>
        </w:rPr>
      </w:pPr>
      <w:r>
        <w:rPr>
          <w:rFonts w:hint="eastAsia" w:hAnsi="宋体" w:eastAsia="仿宋_GB2312" w:cs="宋体"/>
          <w:kern w:val="0"/>
          <w:sz w:val="36"/>
          <w:szCs w:val="36"/>
        </w:rPr>
        <w:t>项目名称：</w:t>
      </w:r>
      <w:r>
        <w:rPr>
          <w:rFonts w:hint="eastAsia" w:hAnsi="宋体" w:eastAsia="仿宋_GB2312" w:cs="宋体"/>
          <w:kern w:val="0"/>
          <w:sz w:val="32"/>
          <w:szCs w:val="32"/>
          <w:lang w:eastAsia="zh-CN"/>
        </w:rPr>
        <w:t>玛纳斯县</w:t>
      </w:r>
      <w:r>
        <w:rPr>
          <w:rFonts w:hint="eastAsia" w:hAnsi="宋体" w:eastAsia="仿宋_GB2312" w:cs="宋体"/>
          <w:kern w:val="0"/>
          <w:sz w:val="32"/>
          <w:szCs w:val="32"/>
          <w:lang w:val="en-US" w:eastAsia="zh-CN"/>
        </w:rPr>
        <w:t>翡翠名门小区统建房征地补偿费</w:t>
      </w:r>
    </w:p>
    <w:p>
      <w:pPr>
        <w:spacing w:line="700" w:lineRule="exact"/>
        <w:ind w:firstLine="360" w:firstLineChars="1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玛纳斯县住房和城乡建设局</w:t>
      </w:r>
    </w:p>
    <w:p>
      <w:pPr>
        <w:spacing w:line="700" w:lineRule="exact"/>
        <w:ind w:firstLine="720" w:firstLineChars="2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玛纳斯县住房和城乡建设局</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袁培东</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6"/>
          <w:rFonts w:ascii="黑体" w:hAnsi="黑体" w:eastAsia="黑体"/>
          <w:b w:val="0"/>
          <w:spacing w:val="-4"/>
          <w:sz w:val="32"/>
          <w:szCs w:val="32"/>
        </w:rPr>
      </w:pPr>
    </w:p>
    <w:p>
      <w:pPr>
        <w:spacing w:line="540" w:lineRule="exact"/>
        <w:ind w:firstLine="640"/>
        <w:rPr>
          <w:rStyle w:val="16"/>
          <w:rFonts w:ascii="黑体" w:hAnsi="黑体" w:eastAsia="黑体"/>
          <w:b w:val="0"/>
          <w:spacing w:val="-4"/>
          <w:sz w:val="32"/>
          <w:szCs w:val="32"/>
        </w:rPr>
      </w:pPr>
    </w:p>
    <w:p>
      <w:pPr>
        <w:spacing w:line="540" w:lineRule="exact"/>
        <w:ind w:firstLine="640"/>
        <w:rPr>
          <w:rStyle w:val="16"/>
          <w:rFonts w:ascii="黑体" w:hAnsi="黑体" w:eastAsia="黑体"/>
          <w:b w:val="0"/>
          <w:spacing w:val="-4"/>
          <w:sz w:val="32"/>
          <w:szCs w:val="32"/>
        </w:rPr>
      </w:pPr>
    </w:p>
    <w:p>
      <w:pPr>
        <w:spacing w:line="540" w:lineRule="exact"/>
        <w:ind w:firstLine="640"/>
        <w:rPr>
          <w:rStyle w:val="16"/>
          <w:rFonts w:ascii="黑体" w:hAnsi="黑体" w:eastAsia="黑体"/>
          <w:b w:val="0"/>
          <w:spacing w:val="-4"/>
          <w:sz w:val="32"/>
          <w:szCs w:val="32"/>
        </w:rPr>
      </w:pPr>
    </w:p>
    <w:p>
      <w:pPr>
        <w:spacing w:line="540" w:lineRule="exact"/>
        <w:ind w:firstLine="640"/>
        <w:rPr>
          <w:rStyle w:val="16"/>
          <w:rFonts w:hint="eastAsia" w:ascii="黑体" w:hAnsi="黑体" w:eastAsia="黑体"/>
          <w:b w:val="0"/>
          <w:spacing w:val="-4"/>
          <w:sz w:val="32"/>
          <w:szCs w:val="32"/>
        </w:rPr>
      </w:pP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567"/>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579" w:firstLineChars="181"/>
        <w:rPr>
          <w:rFonts w:hint="eastAsia" w:ascii="仿宋" w:hAnsi="仿宋" w:eastAsia="仿宋" w:cs="仿宋"/>
          <w:kern w:val="0"/>
          <w:sz w:val="32"/>
          <w:szCs w:val="32"/>
        </w:rPr>
      </w:pPr>
      <w:r>
        <w:rPr>
          <w:rFonts w:hint="eastAsia" w:ascii="仿宋" w:hAnsi="仿宋" w:eastAsia="仿宋" w:cs="仿宋"/>
          <w:kern w:val="0"/>
          <w:sz w:val="32"/>
          <w:szCs w:val="32"/>
        </w:rPr>
        <w:t>1．主要职能</w:t>
      </w:r>
    </w:p>
    <w:p>
      <w:pPr>
        <w:spacing w:line="540" w:lineRule="exact"/>
        <w:ind w:firstLine="579" w:firstLineChars="181"/>
        <w:rPr>
          <w:rFonts w:hint="eastAsia" w:ascii="仿宋" w:hAnsi="仿宋" w:eastAsia="仿宋" w:cs="仿宋"/>
          <w:color w:val="C0504D" w:themeColor="accent2"/>
          <w:kern w:val="0"/>
          <w:sz w:val="32"/>
          <w:szCs w:val="32"/>
          <w14:textFill>
            <w14:solidFill>
              <w14:schemeClr w14:val="accent2"/>
            </w14:solidFill>
          </w14:textFill>
        </w:rPr>
      </w:pPr>
      <w:r>
        <w:rPr>
          <w:rFonts w:hint="eastAsia" w:ascii="仿宋" w:hAnsi="仿宋" w:eastAsia="仿宋" w:cs="仿宋"/>
          <w:color w:val="C0504D" w:themeColor="accent2"/>
          <w:kern w:val="0"/>
          <w:sz w:val="32"/>
          <w:szCs w:val="32"/>
          <w14:textFill>
            <w14:solidFill>
              <w14:schemeClr w14:val="accent2"/>
            </w14:solidFill>
          </w14:textFill>
        </w:rPr>
        <w:t>指导全县建筑业活动，培育规范建筑市场，指导监督建筑市场，管理工程招投标，工程质量和施工安全。负责全县住宅和房地产业的行业管理。负责组织实施各类房屋建筑的抗震加固，负责全县的基础设施建设，负责全县保障性住房建设及管理。</w:t>
      </w:r>
    </w:p>
    <w:p>
      <w:pPr>
        <w:spacing w:line="540" w:lineRule="exact"/>
        <w:ind w:firstLine="579" w:firstLineChars="181"/>
        <w:rPr>
          <w:rFonts w:hint="eastAsia" w:ascii="仿宋" w:hAnsi="仿宋" w:eastAsia="仿宋" w:cs="仿宋"/>
          <w:kern w:val="0"/>
          <w:sz w:val="32"/>
          <w:szCs w:val="32"/>
        </w:rPr>
      </w:pPr>
      <w:r>
        <w:rPr>
          <w:rFonts w:hint="eastAsia" w:ascii="仿宋" w:hAnsi="仿宋" w:eastAsia="仿宋" w:cs="仿宋"/>
          <w:kern w:val="0"/>
          <w:sz w:val="32"/>
          <w:szCs w:val="32"/>
        </w:rPr>
        <w:t>2．机构情况</w:t>
      </w:r>
    </w:p>
    <w:p>
      <w:pPr>
        <w:spacing w:line="540" w:lineRule="exact"/>
        <w:ind w:firstLine="579" w:firstLineChars="181"/>
        <w:rPr>
          <w:rFonts w:hint="eastAsia" w:ascii="仿宋" w:hAnsi="仿宋" w:eastAsia="仿宋" w:cs="仿宋"/>
          <w:color w:val="C0504D" w:themeColor="accent2"/>
          <w:kern w:val="0"/>
          <w:sz w:val="32"/>
          <w:szCs w:val="32"/>
          <w14:textFill>
            <w14:solidFill>
              <w14:schemeClr w14:val="accent2"/>
            </w14:solidFill>
          </w14:textFill>
        </w:rPr>
      </w:pPr>
      <w:r>
        <w:rPr>
          <w:rFonts w:hint="eastAsia" w:ascii="仿宋" w:hAnsi="仿宋" w:eastAsia="仿宋" w:cs="仿宋"/>
          <w:color w:val="C0504D" w:themeColor="accent2"/>
          <w:kern w:val="0"/>
          <w:sz w:val="32"/>
          <w:szCs w:val="32"/>
          <w14:textFill>
            <w14:solidFill>
              <w14:schemeClr w14:val="accent2"/>
            </w14:solidFill>
          </w14:textFill>
        </w:rPr>
        <w:t>住建局下设9个处室，分别是：玛纳斯县城建监察大队、玛纳斯县建设工程安监站、玛纳斯县建设工程质量监督站、玛纳斯县建筑市场管理办公室、玛纳斯县房地产管理所、玛纳斯县建设工程造价管理站、玛纳斯县燃气供热服务站、玛纳斯县城建档案室、玛纳斯县市政建设服务中心。</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ind w:firstLine="640"/>
        <w:rPr>
          <w:rFonts w:hint="eastAsia"/>
          <w:color w:val="auto"/>
          <w:sz w:val="32"/>
          <w:szCs w:val="32"/>
          <w:lang w:val="en-US" w:eastAsia="zh-CN"/>
        </w:rPr>
      </w:pPr>
      <w:r>
        <w:rPr>
          <w:rFonts w:hint="eastAsia" w:ascii="宋体" w:hAnsi="宋体" w:eastAsia="宋体" w:cs="宋体"/>
          <w:sz w:val="32"/>
          <w:szCs w:val="32"/>
          <w:lang w:val="en-US" w:eastAsia="zh-CN"/>
        </w:rPr>
        <w:t>预期目标</w:t>
      </w:r>
      <w:r>
        <w:rPr>
          <w:rFonts w:hint="eastAsia" w:ascii="仿宋" w:hAnsi="仿宋" w:eastAsia="仿宋" w:cs="仿宋"/>
          <w:sz w:val="32"/>
          <w:szCs w:val="32"/>
          <w:lang w:val="en-US" w:eastAsia="zh-CN"/>
        </w:rPr>
        <w:t>：</w:t>
      </w:r>
      <w:r>
        <w:rPr>
          <w:rFonts w:hint="eastAsia"/>
          <w:sz w:val="32"/>
          <w:szCs w:val="32"/>
          <w:lang w:val="en-US" w:eastAsia="zh-CN"/>
        </w:rPr>
        <w:t>2012年翡翠名门小区土地出让单价为46万元/亩，</w:t>
      </w:r>
      <w:r>
        <w:rPr>
          <w:rFonts w:hint="eastAsia"/>
          <w:color w:val="auto"/>
          <w:sz w:val="32"/>
          <w:szCs w:val="32"/>
          <w:lang w:val="en-US" w:eastAsia="zh-CN"/>
        </w:rPr>
        <w:t>县财政按照勘界面积拨付土地购买费用689.38万元，用于支付翡翠名门小区统建房征地补偿费。</w:t>
      </w:r>
    </w:p>
    <w:p>
      <w:pPr>
        <w:ind w:firstLine="640"/>
        <w:rPr>
          <w:rFonts w:hint="eastAsia" w:ascii="仿宋" w:hAnsi="仿宋" w:eastAsia="仿宋" w:cs="仿宋"/>
          <w:sz w:val="32"/>
          <w:szCs w:val="32"/>
        </w:rPr>
      </w:pPr>
      <w:r>
        <w:rPr>
          <w:rFonts w:hint="eastAsia" w:ascii="宋体" w:hAnsi="宋体" w:eastAsia="宋体" w:cs="宋体"/>
          <w:sz w:val="32"/>
          <w:szCs w:val="32"/>
          <w:lang w:eastAsia="zh-CN"/>
        </w:rPr>
        <w:t>项目性质及用途：</w:t>
      </w:r>
      <w:r>
        <w:rPr>
          <w:rFonts w:hint="eastAsia"/>
          <w:color w:val="auto"/>
          <w:sz w:val="32"/>
          <w:szCs w:val="32"/>
          <w:lang w:val="en-US" w:eastAsia="zh-CN"/>
        </w:rPr>
        <w:t>用于支付翡翠名门小区统建房征地补偿费。</w:t>
      </w: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ind w:firstLine="640"/>
        <w:rPr>
          <w:rFonts w:hint="eastAsia" w:ascii="仿宋" w:hAnsi="仿宋" w:eastAsia="仿宋" w:cs="仿宋"/>
          <w:sz w:val="32"/>
          <w:szCs w:val="32"/>
          <w:lang w:eastAsia="zh-CN"/>
        </w:rPr>
      </w:pPr>
      <w:r>
        <w:rPr>
          <w:rFonts w:hint="eastAsia"/>
          <w:color w:val="auto"/>
          <w:sz w:val="32"/>
          <w:szCs w:val="32"/>
          <w:lang w:val="en-US" w:eastAsia="zh-CN"/>
        </w:rPr>
        <w:t>项目资金为县级财政安排，总投入689.38万元。</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ind w:firstLine="640"/>
        <w:rPr>
          <w:rFonts w:hint="eastAsia" w:ascii="宋体" w:hAnsi="宋体" w:eastAsia="宋体" w:cs="宋体"/>
          <w:bCs/>
          <w:kern w:val="0"/>
          <w:sz w:val="32"/>
          <w:szCs w:val="32"/>
        </w:rPr>
      </w:pPr>
      <w:r>
        <w:rPr>
          <w:rFonts w:hint="eastAsia"/>
          <w:sz w:val="32"/>
          <w:szCs w:val="32"/>
          <w:lang w:val="en-US" w:eastAsia="zh-CN"/>
        </w:rPr>
        <w:t>2012年翡翠名门小区土地出让单价为46万元/亩，</w:t>
      </w:r>
      <w:r>
        <w:rPr>
          <w:rFonts w:hint="eastAsia"/>
          <w:color w:val="auto"/>
          <w:sz w:val="32"/>
          <w:szCs w:val="32"/>
          <w:lang w:val="en-US" w:eastAsia="zh-CN"/>
        </w:rPr>
        <w:t>县财政按照勘界面积拨付土地购买费用689.38万元，用于支付新疆中鸿基房地产开发有限公司翡翠名门小区统建房征地补偿费。</w:t>
      </w:r>
      <w:r>
        <w:rPr>
          <w:rFonts w:hint="eastAsia" w:ascii="宋体" w:hAnsi="宋体" w:eastAsia="宋体" w:cs="宋体"/>
          <w:sz w:val="32"/>
          <w:szCs w:val="32"/>
          <w:lang w:eastAsia="zh-CN"/>
        </w:rPr>
        <w:t>项目由玛纳斯县住房和城乡建设局负责实施</w:t>
      </w:r>
      <w:r>
        <w:rPr>
          <w:rFonts w:hint="eastAsia" w:ascii="宋体" w:hAnsi="宋体" w:eastAsia="宋体" w:cs="宋体"/>
          <w:bCs/>
          <w:kern w:val="0"/>
          <w:sz w:val="32"/>
          <w:szCs w:val="32"/>
        </w:rPr>
        <w:t>，</w:t>
      </w:r>
      <w:r>
        <w:rPr>
          <w:rFonts w:hint="eastAsia" w:ascii="宋体" w:hAnsi="宋体" w:eastAsia="宋体" w:cs="宋体"/>
          <w:bCs/>
          <w:kern w:val="0"/>
          <w:sz w:val="32"/>
          <w:szCs w:val="32"/>
          <w:lang w:eastAsia="zh-CN"/>
        </w:rPr>
        <w:t>项目资金已支付完毕</w:t>
      </w:r>
      <w:r>
        <w:rPr>
          <w:rFonts w:hint="eastAsia" w:ascii="宋体" w:hAnsi="宋体" w:eastAsia="宋体" w:cs="宋体"/>
          <w:bCs/>
          <w:kern w:val="0"/>
          <w:sz w:val="32"/>
          <w:szCs w:val="32"/>
        </w:rPr>
        <w:t>。</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spacing w:line="540" w:lineRule="exact"/>
        <w:ind w:firstLine="640"/>
        <w:rPr>
          <w:rFonts w:hint="eastAsia"/>
          <w:color w:val="auto"/>
          <w:sz w:val="32"/>
          <w:szCs w:val="32"/>
          <w:lang w:val="en-US" w:eastAsia="zh-CN"/>
        </w:rPr>
      </w:pPr>
      <w:r>
        <w:rPr>
          <w:rFonts w:hint="eastAsia" w:ascii="宋体" w:hAnsi="宋体" w:eastAsia="宋体" w:cs="宋体"/>
          <w:color w:val="000000"/>
          <w:kern w:val="0"/>
          <w:sz w:val="32"/>
          <w:szCs w:val="32"/>
        </w:rPr>
        <w:t>项目资金按投资计划</w:t>
      </w:r>
      <w:r>
        <w:rPr>
          <w:rFonts w:hint="eastAsia" w:ascii="宋体" w:hAnsi="宋体" w:eastAsia="宋体" w:cs="宋体"/>
          <w:color w:val="000000"/>
          <w:kern w:val="0"/>
          <w:sz w:val="32"/>
          <w:szCs w:val="32"/>
          <w:lang w:eastAsia="zh-CN"/>
        </w:rPr>
        <w:t>申请资金</w:t>
      </w:r>
      <w:r>
        <w:rPr>
          <w:rFonts w:hint="eastAsia" w:ascii="宋体" w:hAnsi="宋体" w:cs="宋体"/>
          <w:color w:val="000000"/>
          <w:kern w:val="0"/>
          <w:sz w:val="32"/>
          <w:szCs w:val="32"/>
          <w:lang w:eastAsia="zh-CN"/>
        </w:rPr>
        <w:t>，</w:t>
      </w:r>
      <w:r>
        <w:rPr>
          <w:rFonts w:hint="eastAsia" w:ascii="宋体" w:hAnsi="宋体" w:eastAsia="宋体" w:cs="宋体"/>
          <w:color w:val="000000"/>
          <w:kern w:val="0"/>
          <w:sz w:val="32"/>
          <w:szCs w:val="32"/>
          <w:lang w:eastAsia="zh-CN"/>
        </w:rPr>
        <w:t>依据财经会议纪要拨付资金。</w:t>
      </w:r>
      <w:r>
        <w:rPr>
          <w:rFonts w:hint="eastAsia" w:ascii="宋体" w:hAnsi="宋体" w:eastAsia="宋体" w:cs="宋体"/>
          <w:color w:val="000000"/>
          <w:kern w:val="0"/>
          <w:sz w:val="32"/>
          <w:szCs w:val="32"/>
        </w:rPr>
        <w:t>项目资金按项目单独核算</w:t>
      </w:r>
      <w:r>
        <w:rPr>
          <w:rFonts w:hint="eastAsia" w:ascii="宋体" w:hAnsi="宋体" w:eastAsia="宋体" w:cs="宋体"/>
          <w:color w:val="000000"/>
          <w:kern w:val="0"/>
          <w:sz w:val="32"/>
          <w:szCs w:val="32"/>
          <w:lang w:eastAsia="zh-CN"/>
        </w:rPr>
        <w:t>，做到</w:t>
      </w:r>
      <w:r>
        <w:rPr>
          <w:rFonts w:hint="eastAsia" w:ascii="宋体" w:hAnsi="宋体" w:eastAsia="宋体" w:cs="宋体"/>
          <w:color w:val="000000"/>
          <w:kern w:val="0"/>
          <w:sz w:val="32"/>
          <w:szCs w:val="32"/>
        </w:rPr>
        <w:t>“专款专用、专人管理”，未挤占挪用项目资金。</w:t>
      </w:r>
      <w:r>
        <w:rPr>
          <w:rFonts w:hint="eastAsia" w:ascii="宋体" w:hAnsi="宋体" w:eastAsia="宋体" w:cs="宋体"/>
          <w:sz w:val="32"/>
          <w:szCs w:val="32"/>
          <w:lang w:val="en-US" w:eastAsia="zh-CN"/>
        </w:rPr>
        <w:t>2012年翡翠名门土地出让单价为46万元/亩，</w:t>
      </w:r>
      <w:r>
        <w:rPr>
          <w:rFonts w:hint="eastAsia" w:ascii="宋体" w:hAnsi="宋体" w:eastAsia="宋体" w:cs="宋体"/>
          <w:color w:val="auto"/>
          <w:sz w:val="32"/>
          <w:szCs w:val="32"/>
          <w:lang w:val="en-US" w:eastAsia="zh-CN"/>
        </w:rPr>
        <w:t>县财政按照勘界面积拨付土地购买费用，</w:t>
      </w:r>
      <w:r>
        <w:rPr>
          <w:rFonts w:hint="eastAsia"/>
          <w:color w:val="auto"/>
          <w:sz w:val="32"/>
          <w:szCs w:val="32"/>
          <w:lang w:val="en-US" w:eastAsia="zh-CN"/>
        </w:rPr>
        <w:t>用于支付翡翠名门小区统建房征地补偿费。</w:t>
      </w: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color w:val="FF0000"/>
          <w:spacing w:val="-4"/>
          <w:sz w:val="32"/>
          <w:szCs w:val="32"/>
        </w:rPr>
        <w:t>三、项目组织实施情况</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00" w:lineRule="exact"/>
        <w:ind w:left="105" w:leftChars="50" w:right="105" w:rightChars="50" w:firstLine="640" w:firstLineChars="200"/>
        <w:rPr>
          <w:rFonts w:hint="eastAsia" w:ascii="仿宋" w:hAnsi="仿宋" w:eastAsia="仿宋" w:cs="仿宋_GB2312"/>
          <w:bCs/>
          <w:kern w:val="0"/>
          <w:sz w:val="32"/>
          <w:szCs w:val="32"/>
          <w:lang w:val="en-US" w:eastAsia="zh-CN"/>
        </w:rPr>
      </w:pPr>
      <w:r>
        <w:rPr>
          <w:rFonts w:hint="eastAsia" w:ascii="仿宋" w:hAnsi="仿宋" w:eastAsia="仿宋" w:cs="仿宋_GB2312"/>
          <w:bCs/>
          <w:kern w:val="0"/>
          <w:sz w:val="32"/>
          <w:szCs w:val="32"/>
          <w:lang w:val="en-US" w:eastAsia="zh-CN"/>
        </w:rPr>
        <w:t>1.项目招投标情况：无。</w:t>
      </w:r>
    </w:p>
    <w:p>
      <w:pPr>
        <w:spacing w:line="500" w:lineRule="exact"/>
        <w:ind w:left="105" w:leftChars="50" w:right="105" w:rightChars="50" w:firstLine="640" w:firstLineChars="200"/>
        <w:rPr>
          <w:rFonts w:hint="eastAsia" w:ascii="仿宋" w:hAnsi="仿宋" w:eastAsia="仿宋" w:cs="仿宋_GB2312"/>
          <w:bCs/>
          <w:kern w:val="0"/>
          <w:sz w:val="32"/>
          <w:szCs w:val="32"/>
          <w:lang w:val="en-US" w:eastAsia="zh-CN"/>
        </w:rPr>
      </w:pPr>
      <w:r>
        <w:rPr>
          <w:rFonts w:hint="eastAsia" w:ascii="仿宋" w:hAnsi="仿宋" w:eastAsia="仿宋" w:cs="仿宋_GB2312"/>
          <w:bCs/>
          <w:kern w:val="0"/>
          <w:sz w:val="32"/>
          <w:szCs w:val="32"/>
          <w:lang w:val="en-US" w:eastAsia="zh-CN"/>
        </w:rPr>
        <w:t>2.项目验收情况：项目已实施完毕。</w:t>
      </w:r>
    </w:p>
    <w:p>
      <w:pPr>
        <w:spacing w:line="540" w:lineRule="exact"/>
        <w:ind w:firstLine="567" w:firstLineChars="181"/>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spacing w:line="540" w:lineRule="exact"/>
        <w:ind w:firstLine="640"/>
        <w:rPr>
          <w:rFonts w:hint="eastAsia"/>
          <w:color w:val="auto"/>
          <w:sz w:val="32"/>
          <w:szCs w:val="32"/>
          <w:lang w:val="en-US" w:eastAsia="zh-CN"/>
        </w:rPr>
      </w:pPr>
      <w:r>
        <w:rPr>
          <w:rFonts w:hint="eastAsia" w:ascii="宋体" w:hAnsi="宋体" w:eastAsia="宋体" w:cs="宋体"/>
          <w:color w:val="000000"/>
          <w:kern w:val="0"/>
          <w:sz w:val="32"/>
          <w:szCs w:val="32"/>
        </w:rPr>
        <w:t>项目资金按投资计划</w:t>
      </w:r>
      <w:r>
        <w:rPr>
          <w:rFonts w:hint="eastAsia" w:ascii="宋体" w:hAnsi="宋体" w:eastAsia="宋体" w:cs="宋体"/>
          <w:color w:val="000000"/>
          <w:kern w:val="0"/>
          <w:sz w:val="32"/>
          <w:szCs w:val="32"/>
          <w:lang w:eastAsia="zh-CN"/>
        </w:rPr>
        <w:t>申请资金</w:t>
      </w:r>
      <w:r>
        <w:rPr>
          <w:rFonts w:hint="eastAsia" w:ascii="宋体" w:hAnsi="宋体" w:cs="宋体"/>
          <w:color w:val="000000"/>
          <w:kern w:val="0"/>
          <w:sz w:val="32"/>
          <w:szCs w:val="32"/>
          <w:lang w:eastAsia="zh-CN"/>
        </w:rPr>
        <w:t>，</w:t>
      </w:r>
      <w:r>
        <w:rPr>
          <w:rFonts w:hint="eastAsia" w:ascii="宋体" w:hAnsi="宋体" w:eastAsia="宋体" w:cs="宋体"/>
          <w:color w:val="000000"/>
          <w:kern w:val="0"/>
          <w:sz w:val="32"/>
          <w:szCs w:val="32"/>
          <w:lang w:eastAsia="zh-CN"/>
        </w:rPr>
        <w:t>依据财经会议纪要拨付资金。</w:t>
      </w:r>
      <w:r>
        <w:rPr>
          <w:rFonts w:hint="eastAsia" w:ascii="宋体" w:hAnsi="宋体" w:eastAsia="宋体" w:cs="宋体"/>
          <w:color w:val="000000"/>
          <w:kern w:val="0"/>
          <w:sz w:val="32"/>
          <w:szCs w:val="32"/>
        </w:rPr>
        <w:t>项目资金按项目单独核算</w:t>
      </w:r>
      <w:r>
        <w:rPr>
          <w:rFonts w:hint="eastAsia" w:ascii="宋体" w:hAnsi="宋体" w:eastAsia="宋体" w:cs="宋体"/>
          <w:color w:val="000000"/>
          <w:kern w:val="0"/>
          <w:sz w:val="32"/>
          <w:szCs w:val="32"/>
          <w:lang w:eastAsia="zh-CN"/>
        </w:rPr>
        <w:t>，做到</w:t>
      </w:r>
      <w:r>
        <w:rPr>
          <w:rFonts w:hint="eastAsia" w:ascii="宋体" w:hAnsi="宋体" w:eastAsia="宋体" w:cs="宋体"/>
          <w:color w:val="000000"/>
          <w:kern w:val="0"/>
          <w:sz w:val="32"/>
          <w:szCs w:val="32"/>
        </w:rPr>
        <w:t>“专款专用、专人管理”，未挤占挪用项目资金。</w:t>
      </w:r>
      <w:r>
        <w:rPr>
          <w:rFonts w:hint="eastAsia" w:ascii="宋体" w:hAnsi="宋体" w:eastAsia="宋体" w:cs="宋体"/>
          <w:sz w:val="32"/>
          <w:szCs w:val="32"/>
          <w:lang w:val="en-US" w:eastAsia="zh-CN"/>
        </w:rPr>
        <w:t>2012年翡翠名门土地出让单价为46万元/亩，</w:t>
      </w:r>
      <w:r>
        <w:rPr>
          <w:rFonts w:hint="eastAsia" w:ascii="宋体" w:hAnsi="宋体" w:eastAsia="宋体" w:cs="宋体"/>
          <w:color w:val="auto"/>
          <w:sz w:val="32"/>
          <w:szCs w:val="32"/>
          <w:lang w:val="en-US" w:eastAsia="zh-CN"/>
        </w:rPr>
        <w:t>县财政按照勘界面积拨付土地购买费用，</w:t>
      </w:r>
      <w:r>
        <w:rPr>
          <w:rFonts w:hint="eastAsia"/>
          <w:color w:val="auto"/>
          <w:sz w:val="32"/>
          <w:szCs w:val="32"/>
          <w:lang w:val="en-US" w:eastAsia="zh-CN"/>
        </w:rPr>
        <w:t>用于支付翡翠名门小区统建房征地补偿费。</w:t>
      </w:r>
    </w:p>
    <w:p>
      <w:pPr>
        <w:spacing w:line="540" w:lineRule="exact"/>
        <w:ind w:firstLine="64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lang w:val="en-US" w:eastAsia="zh-CN"/>
        </w:rPr>
      </w:pPr>
      <w:r>
        <w:rPr>
          <w:rFonts w:hint="eastAsia" w:ascii="楷体" w:hAnsi="楷体" w:eastAsia="楷体"/>
          <w:b/>
          <w:spacing w:val="-4"/>
          <w:sz w:val="32"/>
          <w:szCs w:val="32"/>
        </w:rPr>
        <w:t>（一）项目绩</w:t>
      </w:r>
      <w:r>
        <w:rPr>
          <w:rFonts w:hint="eastAsia" w:ascii="楷体" w:hAnsi="楷体" w:eastAsia="楷体"/>
          <w:b/>
          <w:spacing w:val="-4"/>
          <w:sz w:val="32"/>
          <w:szCs w:val="32"/>
          <w:lang w:val="en-US" w:eastAsia="zh-CN"/>
        </w:rPr>
        <w:t>效目标完成情况分析</w:t>
      </w:r>
    </w:p>
    <w:p>
      <w:pPr>
        <w:spacing w:line="540" w:lineRule="exact"/>
        <w:ind w:firstLine="564" w:firstLineChars="181"/>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1.数量指标：建设用地17.71亩，亩均成本38.93万元；</w:t>
      </w:r>
    </w:p>
    <w:p>
      <w:pPr>
        <w:spacing w:line="540" w:lineRule="exact"/>
        <w:ind w:firstLine="564" w:firstLineChars="181"/>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2.质量指标：合格</w:t>
      </w:r>
    </w:p>
    <w:p>
      <w:pPr>
        <w:spacing w:line="540" w:lineRule="exact"/>
        <w:ind w:firstLine="564" w:firstLineChars="181"/>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3.社会及生态效益指标：通过土地置换，解决统建房建设用地问题。</w:t>
      </w:r>
    </w:p>
    <w:p>
      <w:pPr>
        <w:spacing w:line="540" w:lineRule="exact"/>
        <w:ind w:firstLine="564" w:firstLineChars="181"/>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4.可持续影响指标：通过土地置换，解决统建房建设用地问题。</w:t>
      </w:r>
    </w:p>
    <w:p>
      <w:pPr>
        <w:spacing w:line="540" w:lineRule="exact"/>
        <w:ind w:firstLine="564" w:firstLineChars="181"/>
        <w:rPr>
          <w:rStyle w:val="16"/>
          <w:rFonts w:hint="eastAsia" w:ascii="仿宋" w:hAnsi="仿宋" w:eastAsia="仿宋"/>
          <w:b w:val="0"/>
          <w:spacing w:val="-4"/>
          <w:sz w:val="32"/>
          <w:szCs w:val="32"/>
          <w:lang w:val="en-US" w:eastAsia="zh-CN"/>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该项目绩效目标已完成。</w:t>
      </w: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仿宋" w:hAnsi="仿宋" w:eastAsia="仿宋"/>
          <w:spacing w:val="-4"/>
          <w:sz w:val="32"/>
          <w:szCs w:val="32"/>
          <w:lang w:eastAsia="zh-CN"/>
        </w:rPr>
      </w:pPr>
      <w:r>
        <w:rPr>
          <w:rFonts w:hint="eastAsia" w:ascii="仿宋" w:hAnsi="仿宋" w:eastAsia="仿宋"/>
          <w:spacing w:val="-4"/>
          <w:sz w:val="32"/>
          <w:szCs w:val="32"/>
          <w:lang w:val="en-US" w:eastAsia="zh-CN"/>
        </w:rPr>
        <w:t>翡翠名门小区统建房征地补偿完成后，企业继续进行</w:t>
      </w:r>
      <w:r>
        <w:rPr>
          <w:rFonts w:hint="eastAsia" w:ascii="仿宋" w:hAnsi="仿宋" w:eastAsia="仿宋"/>
          <w:spacing w:val="-4"/>
          <w:sz w:val="32"/>
          <w:szCs w:val="32"/>
          <w:lang w:eastAsia="zh-CN"/>
        </w:rPr>
        <w:t>商品住宅楼的开发建设。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 w:hAnsi="仿宋" w:eastAsia="仿宋" w:cs="仿宋"/>
          <w:b w:val="0"/>
          <w:bCs/>
          <w:color w:val="000000"/>
          <w:kern w:val="0"/>
          <w:sz w:val="32"/>
          <w:szCs w:val="32"/>
          <w:shd w:val="clear" w:fill="FFFFFF"/>
          <w:lang w:val="en-US"/>
        </w:rPr>
      </w:pPr>
      <w:r>
        <w:rPr>
          <w:rFonts w:hint="eastAsia" w:ascii="仿宋" w:hAnsi="仿宋" w:eastAsia="仿宋" w:cs="仿宋"/>
          <w:b w:val="0"/>
          <w:bCs/>
          <w:color w:val="000000"/>
          <w:kern w:val="0"/>
          <w:sz w:val="32"/>
          <w:szCs w:val="32"/>
          <w:shd w:val="clear" w:fill="FFFFFF"/>
          <w:lang w:val="en-US" w:eastAsia="zh-CN" w:bidi="ar"/>
        </w:rPr>
        <w:t>（1）加强组织领导保障。各级领导高度重视此项工作，加强组织领导，做好部门协调，充分调动各方面的积极性，明确工作职责，落实工作责任，分步实施，形成政府、企业同抓共管的良好局面，确保</w:t>
      </w:r>
      <w:r>
        <w:rPr>
          <w:rFonts w:hint="eastAsia" w:ascii="仿宋" w:hAnsi="仿宋" w:eastAsia="仿宋" w:cs="仿宋"/>
          <w:color w:val="000000"/>
          <w:kern w:val="2"/>
          <w:sz w:val="32"/>
          <w:szCs w:val="32"/>
          <w:lang w:val="en-US" w:eastAsia="zh-CN" w:bidi="ar"/>
        </w:rPr>
        <w:t>征地补偿</w:t>
      </w:r>
      <w:r>
        <w:rPr>
          <w:rFonts w:hint="eastAsia" w:ascii="仿宋" w:hAnsi="仿宋" w:eastAsia="仿宋" w:cs="仿宋"/>
          <w:b w:val="0"/>
          <w:bCs/>
          <w:color w:val="000000"/>
          <w:kern w:val="0"/>
          <w:sz w:val="32"/>
          <w:szCs w:val="32"/>
          <w:shd w:val="clear" w:fill="FFFFFF"/>
          <w:lang w:val="en-US" w:eastAsia="zh-CN" w:bidi="ar"/>
        </w:rPr>
        <w:t>工作顺利推进。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b w:val="0"/>
          <w:bCs/>
          <w:color w:val="000000"/>
          <w:kern w:val="0"/>
          <w:sz w:val="32"/>
          <w:szCs w:val="32"/>
          <w:shd w:val="clear" w:fill="FFFFFF"/>
          <w:lang w:val="en-US" w:eastAsia="zh-CN" w:bidi="ar"/>
        </w:rPr>
        <w:t>（2）</w:t>
      </w:r>
      <w:r>
        <w:rPr>
          <w:rFonts w:hint="eastAsia" w:ascii="仿宋" w:hAnsi="仿宋" w:eastAsia="仿宋" w:cs="仿宋"/>
          <w:b w:val="0"/>
          <w:bCs/>
          <w:color w:val="000000"/>
          <w:kern w:val="2"/>
          <w:sz w:val="32"/>
          <w:szCs w:val="32"/>
          <w:lang w:val="en-US" w:eastAsia="zh-CN" w:bidi="ar"/>
        </w:rPr>
        <w:t>加强项目资金管理。</w:t>
      </w:r>
      <w:r>
        <w:rPr>
          <w:rFonts w:hint="eastAsia" w:ascii="仿宋" w:hAnsi="仿宋" w:eastAsia="仿宋" w:cs="仿宋"/>
          <w:color w:val="000000"/>
          <w:kern w:val="2"/>
          <w:sz w:val="32"/>
          <w:szCs w:val="32"/>
          <w:lang w:val="en-US" w:eastAsia="zh-CN" w:bidi="ar"/>
        </w:rPr>
        <w:t>严格执行资金审批拨付程序，</w:t>
      </w:r>
      <w:r>
        <w:rPr>
          <w:rFonts w:hint="eastAsia" w:ascii="仿宋" w:hAnsi="仿宋" w:eastAsia="仿宋" w:cs="仿宋"/>
          <w:b w:val="0"/>
          <w:bCs/>
          <w:color w:val="000000"/>
          <w:kern w:val="2"/>
          <w:sz w:val="32"/>
          <w:szCs w:val="32"/>
          <w:lang w:val="en-US" w:eastAsia="zh-CN" w:bidi="ar"/>
        </w:rPr>
        <w:t>做到</w:t>
      </w:r>
      <w:r>
        <w:rPr>
          <w:rFonts w:hint="eastAsia" w:ascii="仿宋" w:hAnsi="仿宋" w:eastAsia="仿宋" w:cs="仿宋"/>
          <w:color w:val="000000"/>
          <w:kern w:val="2"/>
          <w:sz w:val="32"/>
          <w:szCs w:val="32"/>
          <w:lang w:val="en-US" w:eastAsia="zh-CN" w:bidi="ar"/>
        </w:rPr>
        <w:t>专款专用，防止截留、挤占、挪用，确保资金及时足额拨付到位，。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ascii="仿宋" w:hAnsi="仿宋" w:eastAsia="仿宋"/>
          <w:spacing w:val="-4"/>
          <w:sz w:val="32"/>
          <w:szCs w:val="32"/>
        </w:rPr>
        <w:t>其他情况无。</w:t>
      </w: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该项目的基础数据收集完整，资料来源真实可信，</w:t>
      </w:r>
      <w:r>
        <w:rPr>
          <w:rFonts w:hint="eastAsia" w:ascii="仿宋" w:hAnsi="仿宋" w:eastAsia="仿宋"/>
          <w:spacing w:val="-4"/>
          <w:sz w:val="32"/>
          <w:szCs w:val="32"/>
          <w:lang w:eastAsia="zh-CN"/>
        </w:rPr>
        <w:t>保障对象</w:t>
      </w:r>
      <w:r>
        <w:rPr>
          <w:rFonts w:hint="eastAsia" w:ascii="仿宋" w:hAnsi="仿宋" w:eastAsia="仿宋"/>
          <w:spacing w:val="-4"/>
          <w:sz w:val="32"/>
          <w:szCs w:val="32"/>
        </w:rPr>
        <w:t>情况与实际情况相符。</w:t>
      </w:r>
    </w:p>
    <w:p>
      <w:pPr>
        <w:spacing w:line="540" w:lineRule="exact"/>
        <w:ind w:firstLine="640"/>
        <w:rPr>
          <w:rStyle w:val="16"/>
          <w:rFonts w:ascii="黑体" w:hAnsi="黑体" w:eastAsia="黑体"/>
          <w:b w:val="0"/>
          <w:spacing w:val="-4"/>
          <w:sz w:val="32"/>
          <w:szCs w:val="32"/>
        </w:rPr>
      </w:pPr>
      <w:r>
        <w:rPr>
          <w:rStyle w:val="16"/>
          <w:rFonts w:hint="eastAsia" w:ascii="黑体" w:hAnsi="黑体" w:eastAsia="黑体"/>
          <w:b w:val="0"/>
          <w:spacing w:val="-4"/>
          <w:sz w:val="32"/>
          <w:szCs w:val="32"/>
        </w:rPr>
        <w:t>七、附表</w:t>
      </w:r>
    </w:p>
    <w:p>
      <w:pPr>
        <w:spacing w:line="540" w:lineRule="exact"/>
        <w:ind w:firstLine="567"/>
        <w:rPr>
          <w:rStyle w:val="16"/>
          <w:rFonts w:ascii="仿宋" w:hAnsi="仿宋" w:eastAsia="仿宋"/>
          <w:b w:val="0"/>
          <w:spacing w:val="-4"/>
          <w:sz w:val="32"/>
          <w:szCs w:val="32"/>
        </w:rPr>
      </w:pPr>
      <w:r>
        <w:rPr>
          <w:rStyle w:val="16"/>
          <w:rFonts w:hint="eastAsia" w:ascii="仿宋" w:hAnsi="仿宋" w:eastAsia="仿宋"/>
          <w:b w:val="0"/>
          <w:spacing w:val="-4"/>
          <w:sz w:val="32"/>
          <w:szCs w:val="32"/>
        </w:rPr>
        <w:t>《玛纳斯县财政项目支出绩效自评表》</w:t>
      </w:r>
    </w:p>
    <w:tbl>
      <w:tblPr>
        <w:tblStyle w:val="18"/>
        <w:tblW w:w="779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5"/>
        <w:gridCol w:w="910"/>
        <w:gridCol w:w="1086"/>
        <w:gridCol w:w="862"/>
        <w:gridCol w:w="703"/>
        <w:gridCol w:w="130"/>
        <w:gridCol w:w="1453"/>
        <w:gridCol w:w="212"/>
        <w:gridCol w:w="1272"/>
        <w:gridCol w:w="543"/>
        <w:gridCol w:w="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588" w:type="dxa"/>
          <w:trHeight w:val="405" w:hRule="atLeast"/>
        </w:trPr>
        <w:tc>
          <w:tcPr>
            <w:tcW w:w="7203" w:type="dxa"/>
            <w:gridSpan w:val="9"/>
            <w:tcBorders>
              <w:top w:val="nil"/>
              <w:left w:val="nil"/>
              <w:bottom w:val="nil"/>
              <w:right w:val="nil"/>
            </w:tcBorders>
            <w:vAlign w:val="center"/>
          </w:tcPr>
          <w:p>
            <w:pPr>
              <w:widowControl/>
              <w:ind w:firstLine="643" w:firstLineChars="200"/>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588" w:type="dxa"/>
          <w:trHeight w:val="285" w:hRule="atLeast"/>
        </w:trPr>
        <w:tc>
          <w:tcPr>
            <w:tcW w:w="7203" w:type="dxa"/>
            <w:gridSpan w:val="9"/>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w:t>
            </w:r>
            <w:r>
              <w:rPr>
                <w:rFonts w:hint="eastAsia"/>
                <w:kern w:val="0"/>
                <w:sz w:val="24"/>
                <w:lang w:val="en-US" w:eastAsia="zh-CN"/>
              </w:rPr>
              <w:t>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285" w:hRule="atLeast"/>
        </w:trPr>
        <w:tc>
          <w:tcPr>
            <w:tcW w:w="575" w:type="dxa"/>
            <w:tcBorders>
              <w:top w:val="nil"/>
              <w:left w:val="nil"/>
              <w:bottom w:val="nil"/>
              <w:right w:val="nil"/>
            </w:tcBorders>
            <w:vAlign w:val="center"/>
          </w:tcPr>
          <w:p>
            <w:pPr>
              <w:widowControl/>
              <w:jc w:val="center"/>
              <w:rPr>
                <w:rFonts w:ascii="宋体" w:hAnsi="宋体" w:cs="宋体"/>
                <w:kern w:val="0"/>
                <w:sz w:val="24"/>
              </w:rPr>
            </w:pPr>
          </w:p>
        </w:tc>
        <w:tc>
          <w:tcPr>
            <w:tcW w:w="910" w:type="dxa"/>
            <w:tcBorders>
              <w:top w:val="nil"/>
              <w:left w:val="nil"/>
              <w:bottom w:val="nil"/>
              <w:right w:val="nil"/>
            </w:tcBorders>
            <w:vAlign w:val="center"/>
          </w:tcPr>
          <w:p>
            <w:pPr>
              <w:widowControl/>
              <w:jc w:val="center"/>
              <w:rPr>
                <w:rFonts w:ascii="宋体" w:hAnsi="宋体" w:cs="宋体"/>
                <w:kern w:val="0"/>
                <w:sz w:val="24"/>
              </w:rPr>
            </w:pPr>
          </w:p>
        </w:tc>
        <w:tc>
          <w:tcPr>
            <w:tcW w:w="1086" w:type="dxa"/>
            <w:tcBorders>
              <w:top w:val="nil"/>
              <w:left w:val="nil"/>
              <w:bottom w:val="nil"/>
              <w:right w:val="nil"/>
            </w:tcBorders>
            <w:vAlign w:val="center"/>
          </w:tcPr>
          <w:p>
            <w:pPr>
              <w:widowControl/>
              <w:jc w:val="center"/>
              <w:rPr>
                <w:rFonts w:ascii="宋体" w:hAnsi="宋体" w:cs="宋体"/>
                <w:kern w:val="0"/>
                <w:sz w:val="24"/>
              </w:rPr>
            </w:pPr>
          </w:p>
        </w:tc>
        <w:tc>
          <w:tcPr>
            <w:tcW w:w="862" w:type="dxa"/>
            <w:tcBorders>
              <w:top w:val="nil"/>
              <w:left w:val="nil"/>
              <w:bottom w:val="nil"/>
              <w:right w:val="nil"/>
            </w:tcBorders>
            <w:vAlign w:val="center"/>
          </w:tcPr>
          <w:p>
            <w:pPr>
              <w:widowControl/>
              <w:jc w:val="center"/>
              <w:rPr>
                <w:rFonts w:ascii="宋体" w:hAnsi="宋体" w:cs="宋体"/>
                <w:kern w:val="0"/>
                <w:sz w:val="24"/>
              </w:rPr>
            </w:pPr>
          </w:p>
        </w:tc>
        <w:tc>
          <w:tcPr>
            <w:tcW w:w="703" w:type="dxa"/>
            <w:tcBorders>
              <w:top w:val="nil"/>
              <w:left w:val="nil"/>
              <w:bottom w:val="nil"/>
              <w:right w:val="nil"/>
            </w:tcBorders>
            <w:vAlign w:val="center"/>
          </w:tcPr>
          <w:p>
            <w:pPr>
              <w:widowControl/>
              <w:jc w:val="center"/>
              <w:rPr>
                <w:rFonts w:ascii="宋体" w:hAnsi="宋体" w:cs="宋体"/>
                <w:kern w:val="0"/>
                <w:sz w:val="24"/>
              </w:rPr>
            </w:pPr>
          </w:p>
        </w:tc>
        <w:tc>
          <w:tcPr>
            <w:tcW w:w="1583" w:type="dxa"/>
            <w:gridSpan w:val="2"/>
            <w:tcBorders>
              <w:top w:val="nil"/>
              <w:left w:val="nil"/>
              <w:bottom w:val="nil"/>
              <w:right w:val="nil"/>
            </w:tcBorders>
            <w:vAlign w:val="center"/>
          </w:tcPr>
          <w:p>
            <w:pPr>
              <w:widowControl/>
              <w:jc w:val="center"/>
              <w:rPr>
                <w:rFonts w:ascii="宋体" w:hAnsi="宋体" w:cs="宋体"/>
                <w:kern w:val="0"/>
                <w:sz w:val="24"/>
              </w:rPr>
            </w:pPr>
          </w:p>
        </w:tc>
        <w:tc>
          <w:tcPr>
            <w:tcW w:w="2027" w:type="dxa"/>
            <w:gridSpan w:val="3"/>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351" w:hRule="atLeast"/>
        </w:trPr>
        <w:tc>
          <w:tcPr>
            <w:tcW w:w="257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175" w:type="dxa"/>
            <w:gridSpan w:val="7"/>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hAnsi="宋体" w:eastAsia="仿宋_GB2312" w:cs="宋体"/>
                <w:kern w:val="0"/>
                <w:sz w:val="20"/>
                <w:szCs w:val="20"/>
                <w:lang w:eastAsia="zh-CN"/>
              </w:rPr>
              <w:t>玛纳斯县</w:t>
            </w:r>
            <w:r>
              <w:rPr>
                <w:rFonts w:hint="eastAsia" w:hAnsi="宋体" w:eastAsia="仿宋_GB2312" w:cs="宋体"/>
                <w:kern w:val="0"/>
                <w:sz w:val="20"/>
                <w:szCs w:val="20"/>
                <w:lang w:val="en-US" w:eastAsia="zh-CN"/>
              </w:rPr>
              <w:t>翡翠名门统建房土地置换费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35" w:hRule="atLeast"/>
        </w:trPr>
        <w:tc>
          <w:tcPr>
            <w:tcW w:w="257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175" w:type="dxa"/>
            <w:gridSpan w:val="7"/>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玛纳斯县住房和城乡建设局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65" w:hRule="atLeast"/>
        </w:trPr>
        <w:tc>
          <w:tcPr>
            <w:tcW w:w="57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99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预算数：</w:t>
            </w:r>
          </w:p>
        </w:tc>
        <w:tc>
          <w:tcPr>
            <w:tcW w:w="1695"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689.38</w:t>
            </w:r>
          </w:p>
        </w:tc>
        <w:tc>
          <w:tcPr>
            <w:tcW w:w="16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689.38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509" w:hRule="atLeast"/>
        </w:trPr>
        <w:tc>
          <w:tcPr>
            <w:tcW w:w="5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9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其中：财政拨款</w:t>
            </w:r>
          </w:p>
        </w:tc>
        <w:tc>
          <w:tcPr>
            <w:tcW w:w="1695"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689.38</w:t>
            </w:r>
          </w:p>
        </w:tc>
        <w:tc>
          <w:tcPr>
            <w:tcW w:w="1665" w:type="dxa"/>
            <w:gridSpan w:val="2"/>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其中：财政拨款</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689.38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1692" w:hRule="atLeast"/>
        </w:trPr>
        <w:tc>
          <w:tcPr>
            <w:tcW w:w="5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99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其他资金</w:t>
            </w:r>
          </w:p>
        </w:tc>
        <w:tc>
          <w:tcPr>
            <w:tcW w:w="1695"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0</w:t>
            </w:r>
          </w:p>
        </w:tc>
        <w:tc>
          <w:tcPr>
            <w:tcW w:w="1665" w:type="dxa"/>
            <w:gridSpan w:val="2"/>
            <w:tcBorders>
              <w:top w:val="single" w:color="auto" w:sz="4" w:space="0"/>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其他资金</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50" w:hRule="atLeast"/>
        </w:trPr>
        <w:tc>
          <w:tcPr>
            <w:tcW w:w="57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w:t>
            </w:r>
            <w:r>
              <w:rPr>
                <w:rFonts w:hint="eastAsia" w:ascii="宋体" w:hAnsi="宋体" w:cs="宋体"/>
                <w:kern w:val="0"/>
                <w:sz w:val="18"/>
                <w:szCs w:val="18"/>
              </w:rPr>
              <w:br w:type="textWrapping"/>
            </w:r>
            <w:r>
              <w:rPr>
                <w:rFonts w:hint="eastAsia" w:ascii="宋体" w:hAnsi="宋体" w:cs="宋体"/>
                <w:kern w:val="0"/>
                <w:sz w:val="18"/>
                <w:szCs w:val="18"/>
              </w:rPr>
              <w:t>目标</w:t>
            </w:r>
            <w:r>
              <w:rPr>
                <w:rFonts w:hint="eastAsia" w:ascii="宋体" w:hAnsi="宋体" w:cs="宋体"/>
                <w:kern w:val="0"/>
                <w:sz w:val="18"/>
                <w:szCs w:val="18"/>
              </w:rPr>
              <w:br w:type="textWrapping"/>
            </w:r>
            <w:r>
              <w:rPr>
                <w:rFonts w:hint="eastAsia" w:ascii="宋体" w:hAnsi="宋体" w:cs="宋体"/>
                <w:kern w:val="0"/>
                <w:sz w:val="18"/>
                <w:szCs w:val="18"/>
              </w:rPr>
              <w:t>完成</w:t>
            </w:r>
            <w:r>
              <w:rPr>
                <w:rFonts w:hint="eastAsia" w:ascii="宋体" w:hAnsi="宋体" w:cs="宋体"/>
                <w:kern w:val="0"/>
                <w:sz w:val="18"/>
                <w:szCs w:val="18"/>
              </w:rPr>
              <w:br w:type="textWrapping"/>
            </w:r>
            <w:r>
              <w:rPr>
                <w:rFonts w:hint="eastAsia" w:ascii="宋体" w:hAnsi="宋体" w:cs="宋体"/>
                <w:kern w:val="0"/>
                <w:sz w:val="18"/>
                <w:szCs w:val="18"/>
              </w:rPr>
              <w:t>情况</w:t>
            </w:r>
          </w:p>
        </w:tc>
        <w:tc>
          <w:tcPr>
            <w:tcW w:w="3691"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48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2096" w:hRule="atLeast"/>
        </w:trPr>
        <w:tc>
          <w:tcPr>
            <w:tcW w:w="5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691" w:type="dxa"/>
            <w:gridSpan w:val="5"/>
            <w:tcBorders>
              <w:top w:val="single" w:color="auto" w:sz="4" w:space="0"/>
              <w:left w:val="nil"/>
              <w:bottom w:val="single" w:color="auto" w:sz="4" w:space="0"/>
              <w:right w:val="single" w:color="000000" w:sz="4" w:space="0"/>
            </w:tcBorders>
            <w:vAlign w:val="top"/>
          </w:tcPr>
          <w:p>
            <w:pPr>
              <w:widowControl/>
              <w:jc w:val="left"/>
              <w:rPr>
                <w:rFonts w:hint="eastAsia" w:ascii="宋体" w:hAnsi="宋体" w:eastAsia="宋体" w:cs="宋体"/>
                <w:kern w:val="0"/>
                <w:sz w:val="20"/>
                <w:szCs w:val="20"/>
                <w:lang w:val="en-US" w:eastAsia="zh-CN"/>
              </w:rPr>
            </w:pPr>
            <w:r>
              <w:rPr>
                <w:rFonts w:hint="eastAsia"/>
                <w:sz w:val="20"/>
                <w:szCs w:val="20"/>
                <w:lang w:val="en-US" w:eastAsia="zh-CN"/>
              </w:rPr>
              <w:t>对建设用地17.71亩进行征地补偿</w:t>
            </w:r>
          </w:p>
        </w:tc>
        <w:tc>
          <w:tcPr>
            <w:tcW w:w="3480" w:type="dxa"/>
            <w:gridSpan w:val="4"/>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sz w:val="20"/>
                <w:szCs w:val="20"/>
                <w:lang w:val="en-US" w:eastAsia="zh-CN"/>
              </w:rPr>
              <w:t>对建设用地17.71亩进行征地补偿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720" w:hRule="atLeast"/>
        </w:trPr>
        <w:tc>
          <w:tcPr>
            <w:tcW w:w="57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91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086"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6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1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1"/>
                <w:szCs w:val="21"/>
              </w:rPr>
              <w:t>　</w:t>
            </w:r>
            <w:r>
              <w:rPr>
                <w:rFonts w:hint="eastAsia" w:ascii="宋体" w:hAnsi="宋体" w:cs="宋体"/>
                <w:kern w:val="0"/>
                <w:sz w:val="21"/>
                <w:szCs w:val="21"/>
                <w:lang w:eastAsia="zh-CN"/>
              </w:rPr>
              <w:t>建设用地</w:t>
            </w:r>
          </w:p>
        </w:tc>
        <w:tc>
          <w:tcPr>
            <w:tcW w:w="16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lang w:val="en-US"/>
              </w:rPr>
            </w:pPr>
            <w:r>
              <w:rPr>
                <w:rFonts w:hint="eastAsia"/>
                <w:sz w:val="20"/>
                <w:szCs w:val="20"/>
                <w:lang w:val="en-US" w:eastAsia="zh-CN"/>
              </w:rPr>
              <w:t>17.71亩</w:t>
            </w:r>
          </w:p>
        </w:tc>
        <w:tc>
          <w:tcPr>
            <w:tcW w:w="181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sz w:val="20"/>
                <w:szCs w:val="20"/>
                <w:lang w:val="en-US" w:eastAsia="zh-CN"/>
              </w:rPr>
              <w:t>17.71亩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验收合格率</w:t>
            </w:r>
          </w:p>
        </w:tc>
        <w:tc>
          <w:tcPr>
            <w:tcW w:w="166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≥95%</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工期</w:t>
            </w:r>
          </w:p>
        </w:tc>
        <w:tc>
          <w:tcPr>
            <w:tcW w:w="1665" w:type="dxa"/>
            <w:gridSpan w:val="2"/>
            <w:tcBorders>
              <w:top w:val="nil"/>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color w:val="000000"/>
                <w:kern w:val="0"/>
                <w:sz w:val="20"/>
                <w:szCs w:val="20"/>
              </w:rPr>
            </w:pPr>
            <w:r>
              <w:rPr>
                <w:rFonts w:hint="eastAsia" w:ascii="宋体" w:hAnsi="宋体" w:cs="宋体"/>
                <w:color w:val="333333"/>
                <w:kern w:val="0"/>
                <w:sz w:val="20"/>
                <w:szCs w:val="20"/>
                <w:highlight w:val="none"/>
                <w:lang w:eastAsia="zh-CN"/>
              </w:rPr>
              <w:t>≤</w:t>
            </w:r>
            <w:r>
              <w:rPr>
                <w:rFonts w:hint="eastAsia" w:ascii="宋体" w:hAnsi="宋体" w:cs="宋体"/>
                <w:color w:val="C0504D" w:themeColor="accent2"/>
                <w:kern w:val="0"/>
                <w:sz w:val="20"/>
                <w:szCs w:val="20"/>
                <w:highlight w:val="none"/>
                <w:lang w:val="en-US" w:eastAsia="zh-CN"/>
                <w14:textFill>
                  <w14:solidFill>
                    <w14:schemeClr w14:val="accent2"/>
                  </w14:solidFill>
                </w14:textFill>
              </w:rPr>
              <w:t>90</w:t>
            </w:r>
            <w:r>
              <w:rPr>
                <w:rFonts w:hint="eastAsia" w:ascii="宋体" w:hAnsi="宋体" w:cs="宋体"/>
                <w:color w:val="C0504D" w:themeColor="accent2"/>
                <w:kern w:val="0"/>
                <w:sz w:val="20"/>
                <w:szCs w:val="20"/>
                <w:highlight w:val="none"/>
                <w14:textFill>
                  <w14:solidFill>
                    <w14:schemeClr w14:val="accent2"/>
                  </w14:solidFill>
                </w14:textFill>
              </w:rPr>
              <w:t>天</w:t>
            </w:r>
          </w:p>
        </w:tc>
        <w:tc>
          <w:tcPr>
            <w:tcW w:w="1815" w:type="dxa"/>
            <w:gridSpan w:val="2"/>
            <w:tcBorders>
              <w:top w:val="nil"/>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color w:val="000000"/>
                <w:kern w:val="0"/>
                <w:sz w:val="20"/>
                <w:szCs w:val="20"/>
              </w:rPr>
            </w:pPr>
            <w:r>
              <w:rPr>
                <w:rFonts w:hint="eastAsia" w:ascii="宋体" w:hAnsi="宋体" w:cs="宋体"/>
                <w:color w:val="FFFFFF" w:themeColor="background1"/>
                <w:kern w:val="0"/>
                <w:sz w:val="20"/>
                <w:szCs w:val="20"/>
                <w:highlight w:val="none"/>
                <w:shd w:val="clear" w:color="auto" w:fill="auto"/>
                <w14:textFill>
                  <w14:solidFill>
                    <w14:schemeClr w14:val="bg1"/>
                  </w14:solidFill>
                </w14:textFill>
              </w:rPr>
              <w:t>3</w:t>
            </w:r>
            <w:r>
              <w:rPr>
                <w:rFonts w:hint="eastAsia" w:ascii="宋体" w:hAnsi="宋体" w:cs="宋体"/>
                <w:color w:val="C0504D" w:themeColor="accent2"/>
                <w:kern w:val="0"/>
                <w:sz w:val="20"/>
                <w:szCs w:val="20"/>
                <w:highlight w:val="none"/>
                <w:lang w:eastAsia="zh-CN"/>
                <w14:textFill>
                  <w14:solidFill>
                    <w14:schemeClr w14:val="accent2"/>
                  </w14:solidFill>
                </w14:textFill>
              </w:rPr>
              <w:t>≤</w:t>
            </w:r>
            <w:r>
              <w:rPr>
                <w:rFonts w:hint="eastAsia" w:ascii="宋体" w:hAnsi="宋体" w:cs="宋体"/>
                <w:color w:val="C0504D" w:themeColor="accent2"/>
                <w:kern w:val="0"/>
                <w:sz w:val="20"/>
                <w:szCs w:val="20"/>
                <w:highlight w:val="none"/>
                <w:lang w:val="en-US" w:eastAsia="zh-CN"/>
                <w14:textFill>
                  <w14:solidFill>
                    <w14:schemeClr w14:val="accent2"/>
                  </w14:solidFill>
                </w14:textFill>
              </w:rPr>
              <w:t>90</w:t>
            </w:r>
            <w:r>
              <w:rPr>
                <w:rFonts w:hint="eastAsia" w:ascii="宋体" w:hAnsi="宋体" w:cs="宋体"/>
                <w:color w:val="C0504D" w:themeColor="accent2"/>
                <w:kern w:val="0"/>
                <w:sz w:val="20"/>
                <w:szCs w:val="20"/>
                <w:highlight w:val="none"/>
                <w14:textFill>
                  <w14:solidFill>
                    <w14:schemeClr w14:val="accent2"/>
                  </w14:solidFill>
                </w14:textFill>
              </w:rPr>
              <w:t>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亩均成本</w:t>
            </w:r>
          </w:p>
        </w:tc>
        <w:tc>
          <w:tcPr>
            <w:tcW w:w="166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C0504D" w:themeColor="accent2"/>
                <w:kern w:val="0"/>
                <w:sz w:val="20"/>
                <w:szCs w:val="20"/>
                <w:lang w:val="en-US" w:eastAsia="zh-CN"/>
                <w14:textFill>
                  <w14:solidFill>
                    <w14:schemeClr w14:val="accent2"/>
                  </w14:solidFill>
                </w14:textFill>
              </w:rPr>
            </w:pPr>
            <w:r>
              <w:rPr>
                <w:rFonts w:hint="eastAsia"/>
                <w:sz w:val="20"/>
                <w:szCs w:val="20"/>
                <w:lang w:val="en-US" w:eastAsia="zh-CN"/>
              </w:rPr>
              <w:t>38.93万元</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C0504D" w:themeColor="accent2"/>
                <w:kern w:val="0"/>
                <w:sz w:val="20"/>
                <w:szCs w:val="20"/>
                <w:lang w:val="en-US" w:eastAsia="zh-CN"/>
                <w14:textFill>
                  <w14:solidFill>
                    <w14:schemeClr w14:val="accent2"/>
                  </w14:solidFill>
                </w14:textFill>
              </w:rPr>
            </w:pPr>
            <w:r>
              <w:rPr>
                <w:rFonts w:hint="eastAsia"/>
                <w:sz w:val="20"/>
                <w:szCs w:val="20"/>
                <w:lang w:val="en-US" w:eastAsia="zh-CN"/>
              </w:rPr>
              <w:t>38.93万元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vMerge w:val="continue"/>
            <w:tcBorders>
              <w:left w:val="single" w:color="auto" w:sz="4" w:space="0"/>
              <w:bottom w:val="single" w:color="000000" w:sz="4" w:space="0"/>
              <w:right w:val="single" w:color="auto" w:sz="4" w:space="0"/>
            </w:tcBorders>
            <w:vAlign w:val="center"/>
          </w:tcPr>
          <w:p>
            <w:pPr>
              <w:widowControl/>
              <w:jc w:val="center"/>
              <w:rPr>
                <w:rFonts w:hint="eastAsia" w:ascii="宋体" w:hAnsi="宋体" w:cs="宋体"/>
                <w:kern w:val="0"/>
                <w:sz w:val="20"/>
                <w:szCs w:val="20"/>
              </w:rPr>
            </w:pP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征地补偿费</w:t>
            </w:r>
          </w:p>
        </w:tc>
        <w:tc>
          <w:tcPr>
            <w:tcW w:w="1665" w:type="dxa"/>
            <w:gridSpan w:val="2"/>
            <w:tcBorders>
              <w:top w:val="nil"/>
              <w:left w:val="nil"/>
              <w:bottom w:val="single" w:color="auto" w:sz="4" w:space="0"/>
              <w:right w:val="single" w:color="auto" w:sz="4" w:space="0"/>
            </w:tcBorders>
            <w:vAlign w:val="center"/>
          </w:tcPr>
          <w:p>
            <w:pPr>
              <w:widowControl/>
              <w:jc w:val="center"/>
              <w:rPr>
                <w:rFonts w:hint="eastAsia"/>
                <w:sz w:val="20"/>
                <w:szCs w:val="20"/>
                <w:lang w:val="en-US" w:eastAsia="zh-CN"/>
              </w:rPr>
            </w:pPr>
            <w:r>
              <w:rPr>
                <w:rFonts w:hint="eastAsia"/>
                <w:sz w:val="20"/>
                <w:szCs w:val="20"/>
                <w:lang w:val="en-US" w:eastAsia="zh-CN"/>
              </w:rPr>
              <w:t>689.38万元</w:t>
            </w:r>
          </w:p>
        </w:tc>
        <w:tc>
          <w:tcPr>
            <w:tcW w:w="1815" w:type="dxa"/>
            <w:gridSpan w:val="2"/>
            <w:tcBorders>
              <w:top w:val="nil"/>
              <w:left w:val="nil"/>
              <w:bottom w:val="single" w:color="auto" w:sz="4" w:space="0"/>
              <w:right w:val="single" w:color="auto" w:sz="4" w:space="0"/>
            </w:tcBorders>
            <w:vAlign w:val="center"/>
          </w:tcPr>
          <w:p>
            <w:pPr>
              <w:widowControl/>
              <w:jc w:val="center"/>
              <w:rPr>
                <w:rFonts w:hint="eastAsia"/>
                <w:sz w:val="20"/>
                <w:szCs w:val="20"/>
                <w:lang w:val="en-US" w:eastAsia="zh-CN"/>
              </w:rPr>
            </w:pPr>
            <w:r>
              <w:rPr>
                <w:rFonts w:hint="eastAsia"/>
                <w:sz w:val="20"/>
                <w:szCs w:val="20"/>
                <w:lang w:val="en-US" w:eastAsia="zh-CN"/>
              </w:rPr>
              <w:t>689.38万元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土地出让金</w:t>
            </w:r>
          </w:p>
        </w:tc>
        <w:tc>
          <w:tcPr>
            <w:tcW w:w="1665"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增加</w:t>
            </w:r>
          </w:p>
        </w:tc>
        <w:tc>
          <w:tcPr>
            <w:tcW w:w="181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推动房地产市场</w:t>
            </w:r>
          </w:p>
        </w:tc>
        <w:tc>
          <w:tcPr>
            <w:tcW w:w="1665"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推动房地产市场</w:t>
            </w:r>
          </w:p>
        </w:tc>
        <w:tc>
          <w:tcPr>
            <w:tcW w:w="181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推动房地产市场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939"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665" w:type="dxa"/>
            <w:gridSpan w:val="2"/>
            <w:tcBorders>
              <w:top w:val="nil"/>
              <w:left w:val="nil"/>
              <w:bottom w:val="single" w:color="auto" w:sz="4" w:space="0"/>
              <w:right w:val="single" w:color="auto" w:sz="4" w:space="0"/>
            </w:tcBorders>
            <w:vAlign w:val="center"/>
          </w:tcPr>
          <w:p>
            <w:pPr>
              <w:widowControl/>
              <w:ind w:firstLine="360" w:firstLineChars="200"/>
              <w:jc w:val="left"/>
              <w:rPr>
                <w:rFonts w:ascii="宋体" w:hAnsi="宋体" w:cs="宋体"/>
                <w:kern w:val="0"/>
                <w:sz w:val="18"/>
                <w:szCs w:val="18"/>
              </w:rPr>
            </w:pPr>
          </w:p>
        </w:tc>
        <w:tc>
          <w:tcPr>
            <w:tcW w:w="181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5"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p>
        </w:tc>
        <w:tc>
          <w:tcPr>
            <w:tcW w:w="166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81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1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086"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695"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居民满意度</w:t>
            </w:r>
          </w:p>
        </w:tc>
        <w:tc>
          <w:tcPr>
            <w:tcW w:w="1665"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860" w:type="dxa"/>
            <w:gridSpan w:val="3"/>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r>
    </w:tbl>
    <w:p>
      <w:pPr>
        <w:spacing w:line="540" w:lineRule="exact"/>
        <w:ind w:firstLine="567"/>
        <w:rPr>
          <w:rStyle w:val="16"/>
          <w:rFonts w:ascii="仿宋" w:hAnsi="仿宋" w:eastAsia="仿宋"/>
          <w:b w:val="0"/>
          <w:spacing w:val="-4"/>
          <w:sz w:val="32"/>
          <w:szCs w:val="32"/>
        </w:rPr>
      </w:pPr>
      <w:bookmarkStart w:id="0" w:name="_GoBack"/>
      <w:bookmarkEnd w:id="0"/>
    </w:p>
    <w:sectPr>
      <w:footerReference r:id="rId3" w:type="default"/>
      <w:pgSz w:w="11906" w:h="16838"/>
      <w:pgMar w:top="1157" w:right="1558" w:bottom="1157"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Lucida Sans">
    <w:panose1 w:val="020B0602030504020204"/>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Arial">
    <w:panose1 w:val="020B0604020202020204"/>
    <w:charset w:val="00"/>
    <w:family w:val="auto"/>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1"/>
      <w:jc w:val="center"/>
    </w:pPr>
    <w:r>
      <w:fldChar w:fldCharType="begin"/>
    </w:r>
    <w:r>
      <w:instrText xml:space="preserve">PAGE   \* MERGEFORMAT</w:instrText>
    </w:r>
    <w:r>
      <w:fldChar w:fldCharType="separate"/>
    </w:r>
    <w:r>
      <w:rPr>
        <w:lang w:val="zh-CN"/>
      </w:rPr>
      <w:t>5</w:t>
    </w:r>
    <w: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91282"/>
    <w:rsid w:val="04D13089"/>
    <w:rsid w:val="0BFF1168"/>
    <w:rsid w:val="0DBB6C9A"/>
    <w:rsid w:val="135002BD"/>
    <w:rsid w:val="195D28BA"/>
    <w:rsid w:val="20717600"/>
    <w:rsid w:val="28A7787E"/>
    <w:rsid w:val="2B8132EC"/>
    <w:rsid w:val="2F19724C"/>
    <w:rsid w:val="30A03F94"/>
    <w:rsid w:val="364B01FF"/>
    <w:rsid w:val="4A6800DB"/>
    <w:rsid w:val="510A49F5"/>
    <w:rsid w:val="5178577E"/>
    <w:rsid w:val="5AAE6760"/>
    <w:rsid w:val="5F825E90"/>
    <w:rsid w:val="628A608B"/>
    <w:rsid w:val="6362424D"/>
    <w:rsid w:val="678732E3"/>
    <w:rsid w:val="67A42ABB"/>
    <w:rsid w:val="75A51B2F"/>
    <w:rsid w:val="7B82361A"/>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widowControl/>
      <w:spacing w:before="240" w:after="60"/>
      <w:jc w:val="left"/>
      <w:outlineLvl w:val="0"/>
    </w:pPr>
    <w:rPr>
      <w:rFonts w:ascii="Cambria" w:hAnsi="Cambria" w:eastAsia="宋体"/>
      <w:b/>
      <w:bCs/>
      <w:kern w:val="32"/>
      <w:sz w:val="32"/>
      <w:szCs w:val="32"/>
    </w:rPr>
  </w:style>
  <w:style w:type="paragraph" w:styleId="2">
    <w:name w:val="heading 2"/>
    <w:basedOn w:val="1"/>
    <w:next w:val="1"/>
    <w:link w:val="20"/>
    <w:qFormat/>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1"/>
    <w:qFormat/>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qFormat/>
    <w:uiPriority w:val="0"/>
    <w:pPr>
      <w:keepNext/>
      <w:widowControl/>
      <w:spacing w:before="240" w:after="60"/>
      <w:jc w:val="left"/>
      <w:outlineLvl w:val="3"/>
    </w:pPr>
    <w:rPr>
      <w:b/>
      <w:bCs/>
      <w:sz w:val="28"/>
      <w:szCs w:val="28"/>
    </w:rPr>
  </w:style>
  <w:style w:type="paragraph" w:styleId="6">
    <w:name w:val="heading 5"/>
    <w:basedOn w:val="1"/>
    <w:next w:val="1"/>
    <w:link w:val="23"/>
    <w:qFormat/>
    <w:uiPriority w:val="0"/>
    <w:pPr>
      <w:widowControl/>
      <w:spacing w:before="240" w:after="60"/>
      <w:jc w:val="left"/>
      <w:outlineLvl w:val="4"/>
    </w:pPr>
    <w:rPr>
      <w:b/>
      <w:bCs/>
      <w:i/>
      <w:iCs/>
      <w:sz w:val="26"/>
      <w:szCs w:val="26"/>
    </w:rPr>
  </w:style>
  <w:style w:type="paragraph" w:styleId="7">
    <w:name w:val="heading 6"/>
    <w:basedOn w:val="1"/>
    <w:next w:val="1"/>
    <w:link w:val="24"/>
    <w:qFormat/>
    <w:uiPriority w:val="0"/>
    <w:pPr>
      <w:widowControl/>
      <w:spacing w:before="240" w:after="60"/>
      <w:jc w:val="left"/>
      <w:outlineLvl w:val="5"/>
    </w:pPr>
    <w:rPr>
      <w:b/>
      <w:bCs/>
    </w:rPr>
  </w:style>
  <w:style w:type="paragraph" w:styleId="8">
    <w:name w:val="heading 7"/>
    <w:basedOn w:val="1"/>
    <w:next w:val="1"/>
    <w:link w:val="25"/>
    <w:qFormat/>
    <w:uiPriority w:val="0"/>
    <w:pPr>
      <w:widowControl/>
      <w:spacing w:before="240" w:after="60"/>
      <w:jc w:val="left"/>
      <w:outlineLvl w:val="6"/>
    </w:pPr>
    <w:rPr>
      <w:sz w:val="24"/>
      <w:szCs w:val="24"/>
    </w:rPr>
  </w:style>
  <w:style w:type="paragraph" w:styleId="9">
    <w:name w:val="heading 8"/>
    <w:basedOn w:val="1"/>
    <w:next w:val="1"/>
    <w:link w:val="26"/>
    <w:qFormat/>
    <w:uiPriority w:val="0"/>
    <w:pPr>
      <w:widowControl/>
      <w:spacing w:before="240" w:after="60"/>
      <w:jc w:val="left"/>
      <w:outlineLvl w:val="7"/>
    </w:pPr>
    <w:rPr>
      <w:i/>
      <w:iCs/>
      <w:sz w:val="24"/>
      <w:szCs w:val="24"/>
    </w:rPr>
  </w:style>
  <w:style w:type="paragraph" w:styleId="10">
    <w:name w:val="heading 9"/>
    <w:basedOn w:val="1"/>
    <w:next w:val="1"/>
    <w:link w:val="27"/>
    <w:qFormat/>
    <w:uiPriority w:val="0"/>
    <w:pPr>
      <w:widowControl/>
      <w:spacing w:before="240" w:after="60"/>
      <w:jc w:val="left"/>
      <w:outlineLvl w:val="8"/>
    </w:pPr>
    <w:rPr>
      <w:rFonts w:ascii="Cambria" w:hAnsi="Cambria" w:eastAsia="宋体"/>
    </w:rPr>
  </w:style>
  <w:style w:type="character" w:default="1" w:styleId="15">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11">
    <w:name w:val="footer"/>
    <w:basedOn w:val="1"/>
    <w:link w:val="30"/>
    <w:qFormat/>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31"/>
    <w:qFormat/>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2"/>
    <w:qFormat/>
    <w:uiPriority w:val="0"/>
    <w:pPr>
      <w:widowControl/>
      <w:spacing w:after="60"/>
      <w:jc w:val="center"/>
      <w:outlineLvl w:val="1"/>
    </w:pPr>
    <w:rPr>
      <w:rFonts w:ascii="Cambria" w:hAnsi="Cambria" w:eastAsia="宋体"/>
      <w:sz w:val="24"/>
      <w:szCs w:val="24"/>
    </w:rPr>
  </w:style>
  <w:style w:type="paragraph" w:styleId="14">
    <w:name w:val="Title"/>
    <w:basedOn w:val="1"/>
    <w:next w:val="1"/>
    <w:link w:val="33"/>
    <w:qFormat/>
    <w:uiPriority w:val="0"/>
    <w:pPr>
      <w:widowControl/>
      <w:spacing w:before="240" w:after="60"/>
      <w:jc w:val="center"/>
      <w:outlineLvl w:val="0"/>
    </w:pPr>
    <w:rPr>
      <w:rFonts w:ascii="Cambria" w:hAnsi="Cambria" w:eastAsia="宋体"/>
      <w:b/>
      <w:bCs/>
      <w:kern w:val="28"/>
      <w:sz w:val="32"/>
      <w:szCs w:val="32"/>
    </w:rPr>
  </w:style>
  <w:style w:type="character" w:styleId="16">
    <w:name w:val="Strong"/>
    <w:basedOn w:val="15"/>
    <w:qFormat/>
    <w:uiPriority w:val="0"/>
    <w:rPr>
      <w:b/>
      <w:bCs/>
    </w:rPr>
  </w:style>
  <w:style w:type="character" w:styleId="17">
    <w:name w:val="Emphasis"/>
    <w:basedOn w:val="15"/>
    <w:qFormat/>
    <w:uiPriority w:val="0"/>
    <w:rPr>
      <w:rFonts w:ascii="Calibri" w:hAnsi="Calibri"/>
      <w:b/>
      <w:i/>
      <w:iCs/>
    </w:rPr>
  </w:style>
  <w:style w:type="character" w:customStyle="1" w:styleId="19">
    <w:name w:val="标题 1 Char"/>
    <w:basedOn w:val="15"/>
    <w:link w:val="3"/>
    <w:semiHidden/>
    <w:qFormat/>
    <w:uiPriority w:val="0"/>
    <w:rPr>
      <w:rFonts w:ascii="Cambria" w:hAnsi="Cambria" w:eastAsia="宋体"/>
      <w:b/>
      <w:bCs/>
      <w:kern w:val="32"/>
      <w:sz w:val="32"/>
      <w:szCs w:val="32"/>
    </w:rPr>
  </w:style>
  <w:style w:type="character" w:customStyle="1" w:styleId="20">
    <w:name w:val="标题 2 Char"/>
    <w:basedOn w:val="15"/>
    <w:link w:val="2"/>
    <w:semiHidden/>
    <w:qFormat/>
    <w:uiPriority w:val="0"/>
    <w:rPr>
      <w:rFonts w:ascii="Cambria" w:hAnsi="Cambria" w:eastAsia="宋体"/>
      <w:b/>
      <w:bCs/>
      <w:i/>
      <w:iCs/>
      <w:sz w:val="28"/>
      <w:szCs w:val="28"/>
    </w:rPr>
  </w:style>
  <w:style w:type="character" w:customStyle="1" w:styleId="21">
    <w:name w:val="标题 3 Char"/>
    <w:basedOn w:val="15"/>
    <w:link w:val="4"/>
    <w:semiHidden/>
    <w:qFormat/>
    <w:uiPriority w:val="0"/>
    <w:rPr>
      <w:rFonts w:ascii="Cambria" w:hAnsi="Cambria" w:eastAsia="宋体"/>
      <w:b/>
      <w:bCs/>
      <w:sz w:val="26"/>
      <w:szCs w:val="26"/>
    </w:rPr>
  </w:style>
  <w:style w:type="character" w:customStyle="1" w:styleId="22">
    <w:name w:val="标题 4 Char"/>
    <w:basedOn w:val="15"/>
    <w:link w:val="5"/>
    <w:semiHidden/>
    <w:qFormat/>
    <w:uiPriority w:val="0"/>
    <w:rPr>
      <w:b/>
      <w:bCs/>
      <w:sz w:val="28"/>
      <w:szCs w:val="28"/>
    </w:rPr>
  </w:style>
  <w:style w:type="character" w:customStyle="1" w:styleId="23">
    <w:name w:val="标题 5 Char"/>
    <w:basedOn w:val="15"/>
    <w:link w:val="6"/>
    <w:semiHidden/>
    <w:qFormat/>
    <w:uiPriority w:val="0"/>
    <w:rPr>
      <w:b/>
      <w:bCs/>
      <w:i/>
      <w:iCs/>
      <w:sz w:val="26"/>
      <w:szCs w:val="26"/>
    </w:rPr>
  </w:style>
  <w:style w:type="character" w:customStyle="1" w:styleId="24">
    <w:name w:val="标题 6 Char"/>
    <w:basedOn w:val="15"/>
    <w:link w:val="7"/>
    <w:semiHidden/>
    <w:qFormat/>
    <w:uiPriority w:val="0"/>
    <w:rPr>
      <w:b/>
      <w:bCs/>
    </w:rPr>
  </w:style>
  <w:style w:type="character" w:customStyle="1" w:styleId="25">
    <w:name w:val="标题 7 Char"/>
    <w:basedOn w:val="15"/>
    <w:link w:val="8"/>
    <w:semiHidden/>
    <w:qFormat/>
    <w:uiPriority w:val="0"/>
    <w:rPr>
      <w:sz w:val="24"/>
      <w:szCs w:val="24"/>
    </w:rPr>
  </w:style>
  <w:style w:type="character" w:customStyle="1" w:styleId="26">
    <w:name w:val="标题 8 Char"/>
    <w:basedOn w:val="15"/>
    <w:link w:val="9"/>
    <w:semiHidden/>
    <w:qFormat/>
    <w:uiPriority w:val="0"/>
    <w:rPr>
      <w:i/>
      <w:iCs/>
      <w:sz w:val="24"/>
      <w:szCs w:val="24"/>
    </w:rPr>
  </w:style>
  <w:style w:type="character" w:customStyle="1" w:styleId="27">
    <w:name w:val="标题 9 Char"/>
    <w:basedOn w:val="15"/>
    <w:link w:val="10"/>
    <w:semiHidden/>
    <w:qFormat/>
    <w:uiPriority w:val="0"/>
    <w:rPr>
      <w:rFonts w:ascii="Cambria" w:hAnsi="Cambria" w:eastAsia="宋体"/>
    </w:rPr>
  </w:style>
  <w:style w:type="character" w:customStyle="1" w:styleId="28">
    <w:name w:val="文本块 Char"/>
    <w:basedOn w:val="15"/>
    <w:link w:val="29"/>
    <w:semiHidden/>
    <w:qFormat/>
    <w:uiPriority w:val="0"/>
    <w:rPr>
      <w:i/>
      <w:sz w:val="24"/>
      <w:szCs w:val="24"/>
    </w:rPr>
  </w:style>
  <w:style w:type="paragraph" w:customStyle="1" w:styleId="29">
    <w:name w:val="Block Text"/>
    <w:basedOn w:val="1"/>
    <w:next w:val="1"/>
    <w:link w:val="28"/>
    <w:qFormat/>
    <w:uiPriority w:val="0"/>
    <w:pPr>
      <w:widowControl/>
      <w:jc w:val="left"/>
    </w:pPr>
    <w:rPr>
      <w:i/>
      <w:sz w:val="24"/>
      <w:szCs w:val="24"/>
    </w:rPr>
  </w:style>
  <w:style w:type="character" w:customStyle="1" w:styleId="30">
    <w:name w:val="页脚 Char"/>
    <w:basedOn w:val="15"/>
    <w:link w:val="11"/>
    <w:semiHidden/>
    <w:qFormat/>
    <w:uiPriority w:val="0"/>
    <w:rPr>
      <w:rFonts w:ascii="Calibri" w:hAnsi="Calibri" w:eastAsia="宋体"/>
      <w:kern w:val="2"/>
      <w:sz w:val="18"/>
      <w:szCs w:val="18"/>
    </w:rPr>
  </w:style>
  <w:style w:type="character" w:customStyle="1" w:styleId="31">
    <w:name w:val="页眉 Char"/>
    <w:basedOn w:val="15"/>
    <w:link w:val="12"/>
    <w:semiHidden/>
    <w:qFormat/>
    <w:uiPriority w:val="0"/>
    <w:rPr>
      <w:rFonts w:ascii="Calibri" w:hAnsi="Calibri" w:eastAsia="宋体"/>
      <w:kern w:val="2"/>
      <w:sz w:val="18"/>
      <w:szCs w:val="18"/>
    </w:rPr>
  </w:style>
  <w:style w:type="character" w:customStyle="1" w:styleId="32">
    <w:name w:val="副标题 Char"/>
    <w:basedOn w:val="15"/>
    <w:link w:val="13"/>
    <w:semiHidden/>
    <w:qFormat/>
    <w:uiPriority w:val="0"/>
    <w:rPr>
      <w:rFonts w:ascii="Cambria" w:hAnsi="Cambria" w:eastAsia="宋体"/>
      <w:sz w:val="24"/>
      <w:szCs w:val="24"/>
    </w:rPr>
  </w:style>
  <w:style w:type="character" w:customStyle="1" w:styleId="33">
    <w:name w:val="标题 Char"/>
    <w:basedOn w:val="15"/>
    <w:link w:val="14"/>
    <w:semiHidden/>
    <w:qFormat/>
    <w:uiPriority w:val="0"/>
    <w:rPr>
      <w:rFonts w:ascii="Cambria" w:hAnsi="Cambria" w:eastAsia="宋体"/>
      <w:b/>
      <w:bCs/>
      <w:kern w:val="28"/>
      <w:sz w:val="32"/>
      <w:szCs w:val="32"/>
    </w:rPr>
  </w:style>
  <w:style w:type="paragraph" w:customStyle="1" w:styleId="34">
    <w:name w:val="批注框文本 Char Char"/>
    <w:basedOn w:val="1"/>
    <w:link w:val="39"/>
    <w:qFormat/>
    <w:uiPriority w:val="0"/>
    <w:rPr>
      <w:rFonts w:ascii="Times New Roman" w:hAnsi="Times New Roman" w:eastAsia="宋体"/>
      <w:kern w:val="2"/>
      <w:sz w:val="18"/>
      <w:szCs w:val="18"/>
    </w:rPr>
  </w:style>
  <w:style w:type="paragraph" w:customStyle="1" w:styleId="35">
    <w:name w:val="无间隔1"/>
    <w:basedOn w:val="1"/>
    <w:qFormat/>
    <w:uiPriority w:val="0"/>
    <w:pPr>
      <w:widowControl/>
      <w:jc w:val="left"/>
    </w:pPr>
    <w:rPr>
      <w:rFonts w:ascii="Calibri" w:hAnsi="Calibri"/>
      <w:kern w:val="0"/>
      <w:sz w:val="24"/>
      <w:szCs w:val="32"/>
      <w:lang w:eastAsia="en-US" w:bidi="en-US"/>
    </w:rPr>
  </w:style>
  <w:style w:type="paragraph" w:customStyle="1" w:styleId="36">
    <w:name w:val="列出段落1"/>
    <w:basedOn w:val="1"/>
    <w:qFormat/>
    <w:uiPriority w:val="0"/>
    <w:pPr>
      <w:widowControl/>
      <w:ind w:left="720"/>
      <w:contextualSpacing/>
      <w:jc w:val="left"/>
    </w:pPr>
    <w:rPr>
      <w:rFonts w:ascii="Calibri" w:hAnsi="Calibri"/>
      <w:kern w:val="0"/>
      <w:sz w:val="24"/>
      <w:lang w:eastAsia="en-US" w:bidi="en-US"/>
    </w:rPr>
  </w:style>
  <w:style w:type="paragraph" w:customStyle="1" w:styleId="37">
    <w:name w:val="明显引用1"/>
    <w:basedOn w:val="1"/>
    <w:next w:val="1"/>
    <w:link w:val="40"/>
    <w:qFormat/>
    <w:uiPriority w:val="0"/>
    <w:pPr>
      <w:widowControl/>
      <w:ind w:left="720" w:right="720"/>
      <w:jc w:val="left"/>
    </w:pPr>
    <w:rPr>
      <w:b/>
      <w:i/>
      <w:sz w:val="24"/>
    </w:rPr>
  </w:style>
  <w:style w:type="paragraph" w:customStyle="1" w:styleId="38">
    <w:name w:val="TOC 标题1"/>
    <w:basedOn w:val="3"/>
    <w:next w:val="1"/>
    <w:qFormat/>
    <w:uiPriority w:val="0"/>
    <w:pPr>
      <w:outlineLvl w:val="9"/>
    </w:pPr>
    <w:rPr>
      <w:lang w:eastAsia="en-US" w:bidi="en-US"/>
    </w:rPr>
  </w:style>
  <w:style w:type="character" w:customStyle="1" w:styleId="39">
    <w:name w:val="批注框文本 Char Char Char"/>
    <w:basedOn w:val="15"/>
    <w:link w:val="34"/>
    <w:semiHidden/>
    <w:qFormat/>
    <w:uiPriority w:val="0"/>
    <w:rPr>
      <w:rFonts w:ascii="Times New Roman" w:hAnsi="Times New Roman" w:eastAsia="宋体"/>
      <w:kern w:val="2"/>
      <w:sz w:val="18"/>
      <w:szCs w:val="18"/>
    </w:rPr>
  </w:style>
  <w:style w:type="character" w:customStyle="1" w:styleId="40">
    <w:name w:val="明显引用 Char"/>
    <w:basedOn w:val="15"/>
    <w:link w:val="37"/>
    <w:semiHidden/>
    <w:qFormat/>
    <w:uiPriority w:val="0"/>
    <w:rPr>
      <w:b/>
      <w:i/>
      <w:sz w:val="24"/>
    </w:rPr>
  </w:style>
  <w:style w:type="character" w:customStyle="1" w:styleId="41">
    <w:name w:val="不明显强调1"/>
    <w:qFormat/>
    <w:uiPriority w:val="0"/>
    <w:rPr>
      <w:i/>
      <w:color w:val="565656"/>
    </w:rPr>
  </w:style>
  <w:style w:type="character" w:customStyle="1" w:styleId="42">
    <w:name w:val="明显强调1"/>
    <w:basedOn w:val="15"/>
    <w:qFormat/>
    <w:uiPriority w:val="0"/>
    <w:rPr>
      <w:b/>
      <w:i/>
      <w:sz w:val="24"/>
      <w:szCs w:val="24"/>
      <w:u w:val="single"/>
    </w:rPr>
  </w:style>
  <w:style w:type="character" w:customStyle="1" w:styleId="43">
    <w:name w:val="不明显参考1"/>
    <w:basedOn w:val="15"/>
    <w:qFormat/>
    <w:uiPriority w:val="0"/>
    <w:rPr>
      <w:sz w:val="24"/>
      <w:szCs w:val="24"/>
      <w:u w:val="single"/>
    </w:rPr>
  </w:style>
  <w:style w:type="character" w:customStyle="1" w:styleId="44">
    <w:name w:val="明显参考1"/>
    <w:basedOn w:val="15"/>
    <w:qFormat/>
    <w:uiPriority w:val="0"/>
    <w:rPr>
      <w:b/>
      <w:sz w:val="24"/>
      <w:u w:val="single"/>
    </w:rPr>
  </w:style>
  <w:style w:type="character" w:customStyle="1" w:styleId="45">
    <w:name w:val="书籍标题1"/>
    <w:basedOn w:val="15"/>
    <w:qFormat/>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309</Words>
  <Characters>1762</Characters>
  <Lines>14</Lines>
  <Paragraphs>4</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恺（预算处）</dc:creator>
  <cp:lastModifiedBy>Administrator</cp:lastModifiedBy>
  <cp:lastPrinted>2019-01-14T12:20:00Z</cp:lastPrinted>
  <dcterms:modified xsi:type="dcterms:W3CDTF">2019-10-18T09:56:45Z</dcterms:modified>
  <dc:title>Administrator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