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72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项目名称：玛纳斯县防洪生态景观（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三</w:t>
      </w:r>
      <w:r>
        <w:rPr>
          <w:rFonts w:hint="eastAsia" w:hAnsi="宋体" w:eastAsia="仿宋_GB2312" w:cs="宋体"/>
          <w:kern w:val="0"/>
          <w:sz w:val="36"/>
          <w:szCs w:val="36"/>
        </w:rPr>
        <w:t>期）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建设</w:t>
      </w:r>
      <w:r>
        <w:rPr>
          <w:rFonts w:hint="eastAsia" w:hAnsi="宋体" w:eastAsia="仿宋_GB2312" w:cs="宋体"/>
          <w:kern w:val="0"/>
          <w:sz w:val="36"/>
          <w:szCs w:val="36"/>
        </w:rPr>
        <w:t>工程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王辉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43" w:firstLineChars="181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t>1．主要职能。</w:t>
      </w:r>
    </w:p>
    <w:p>
      <w:pPr>
        <w:spacing w:line="540" w:lineRule="exact"/>
        <w:ind w:firstLine="543" w:firstLineChars="181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>
      <w:pPr>
        <w:spacing w:line="540" w:lineRule="exact"/>
        <w:ind w:firstLine="543" w:firstLineChars="181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t>2．机构情况。</w:t>
      </w:r>
    </w:p>
    <w:p>
      <w:pPr>
        <w:spacing w:line="540" w:lineRule="exact"/>
        <w:ind w:firstLine="543" w:firstLineChars="181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t>住建局下设9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700" w:lineRule="exact"/>
        <w:ind w:firstLine="720"/>
        <w:jc w:val="left"/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玛纳斯县防洪生态景观（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kern w:val="0"/>
          <w:sz w:val="32"/>
          <w:szCs w:val="32"/>
        </w:rPr>
        <w:t>期）建设南路生态景观工程</w:t>
      </w:r>
      <w:r>
        <w:rPr>
          <w:rFonts w:hint="eastAsia" w:ascii="仿宋" w:hAnsi="仿宋" w:eastAsia="仿宋" w:cs="仿宋"/>
          <w:sz w:val="32"/>
          <w:szCs w:val="32"/>
        </w:rPr>
        <w:t>总占地面积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20.34</w:t>
      </w:r>
      <w:r>
        <w:rPr>
          <w:rFonts w:hint="eastAsia" w:ascii="仿宋" w:hAnsi="仿宋" w:eastAsia="仿宋" w:cs="仿宋"/>
          <w:sz w:val="32"/>
          <w:szCs w:val="32"/>
        </w:rPr>
        <w:t>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305.5亩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，水系面积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3.78（56.7亩）</w:t>
      </w:r>
      <w:r>
        <w:rPr>
          <w:rFonts w:hint="eastAsia" w:ascii="仿宋" w:hAnsi="仿宋" w:eastAsia="仿宋" w:cs="仿宋"/>
          <w:sz w:val="32"/>
          <w:szCs w:val="32"/>
        </w:rPr>
        <w:t>公顷，绿化面积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13.32</w:t>
      </w:r>
      <w:r>
        <w:rPr>
          <w:rFonts w:hint="eastAsia" w:ascii="仿宋" w:hAnsi="仿宋" w:eastAsia="仿宋" w:cs="仿宋"/>
          <w:sz w:val="32"/>
          <w:szCs w:val="32"/>
        </w:rPr>
        <w:t>公顷。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主要建设了水系、假山、人行道、亮化、溢流堰、</w:t>
      </w:r>
      <w:r>
        <w:rPr>
          <w:rFonts w:hint="eastAsia" w:ascii="仿宋" w:hAnsi="仿宋" w:eastAsia="仿宋" w:cs="仿宋"/>
          <w:sz w:val="32"/>
          <w:szCs w:val="32"/>
        </w:rPr>
        <w:t>绿化及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绿化景观</w:t>
      </w:r>
      <w:r>
        <w:rPr>
          <w:rFonts w:hint="eastAsia" w:ascii="仿宋" w:hAnsi="仿宋" w:eastAsia="仿宋" w:cs="仿宋"/>
          <w:sz w:val="32"/>
          <w:szCs w:val="32"/>
        </w:rPr>
        <w:t>相关配套设施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宋体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该项目资金由县本级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预算安排。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通过公开招标，</w:t>
      </w:r>
      <w:r>
        <w:rPr>
          <w:rFonts w:hint="eastAsia" w:ascii="仿宋" w:hAnsi="仿宋" w:eastAsia="仿宋" w:cs="仿宋"/>
          <w:sz w:val="32"/>
          <w:szCs w:val="32"/>
        </w:rPr>
        <w:t>合同价格为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9551.94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。2018年财政资金支付367.18万元，其他资金支付410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本年度完成景观水系约1.8公里、假山景观绿化约3万平方，富丽华北侧小游园约5000平方，碧玉大道及葡萄酒公园东侧亮化；园路约3公里及附属设施等建设财政资金支付367.18万元，其他资金支付410万元。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hint="eastAsia" w:ascii="仿宋" w:hAnsi="仿宋" w:eastAsia="仿宋" w:cs="仿宋_GB2312"/>
          <w:bCs/>
          <w:kern w:val="0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项目资金专款专用，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按照施工进度给施工单位支付工程款，预留20%工程款做为工程质保金，待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项目竣工验收、审计决算后，全额拨付给施工单位。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hint="eastAsia"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1.项目招投标情况：按照《中华人民共和国招标投标法实施条例</w:t>
      </w:r>
      <w:bookmarkStart w:id="0" w:name="_GoBack"/>
      <w:bookmarkEnd w:id="0"/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》、《新疆维吾尔自治区工程建设项目招标范围和规模标准规定》等相关规定和精神，通过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公开招标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方式进行项目招投标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2.项目验收情况：项目未完工，正在建设当中。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该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项目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委托监理公司：新疆三正</w:t>
      </w:r>
      <w:r>
        <w:rPr>
          <w:rFonts w:hint="eastAsia" w:ascii="仿宋" w:hAnsi="仿宋" w:eastAsia="仿宋" w:cs="仿宋"/>
          <w:sz w:val="32"/>
          <w:szCs w:val="32"/>
        </w:rPr>
        <w:t>建设项目管理有限公司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，进行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日常检查监督管理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，住建局随时监督工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程质量及进展和完成情况。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1.数量指标：</w:t>
      </w:r>
      <w:r>
        <w:rPr>
          <w:rFonts w:hint="eastAsia" w:ascii="仿宋" w:hAnsi="仿宋" w:eastAsia="仿宋" w:cs="仿宋"/>
          <w:sz w:val="32"/>
          <w:szCs w:val="32"/>
        </w:rPr>
        <w:t>总占地面积</w:t>
      </w:r>
      <w:r>
        <w:rPr>
          <w:rFonts w:asciiTheme="minorEastAsia" w:hAnsiTheme="minorEastAsia" w:cstheme="minorEastAsia"/>
          <w:sz w:val="32"/>
          <w:szCs w:val="32"/>
        </w:rPr>
        <w:t>20</w:t>
      </w:r>
      <w:r>
        <w:rPr>
          <w:rFonts w:hint="eastAsia" w:asciiTheme="minorEastAsia" w:hAnsiTheme="minorEastAsia" w:cstheme="minorEastAsia"/>
          <w:sz w:val="32"/>
          <w:szCs w:val="32"/>
        </w:rPr>
        <w:t>3422㎡（</w:t>
      </w:r>
      <w:r>
        <w:rPr>
          <w:rFonts w:asciiTheme="minorEastAsia" w:hAnsiTheme="minorEastAsia" w:cstheme="minorEastAsia"/>
          <w:sz w:val="32"/>
          <w:szCs w:val="32"/>
        </w:rPr>
        <w:t>305</w:t>
      </w:r>
      <w:r>
        <w:rPr>
          <w:rFonts w:hint="eastAsia" w:asciiTheme="minorEastAsia" w:hAnsiTheme="minorEastAsia" w:cstheme="minorEastAsia"/>
          <w:sz w:val="32"/>
          <w:szCs w:val="32"/>
        </w:rPr>
        <w:t>.5亩）</w:t>
      </w:r>
      <w:r>
        <w:rPr>
          <w:rFonts w:hint="eastAsia" w:ascii="仿宋" w:hAnsi="仿宋" w:eastAsia="仿宋" w:cs="仿宋"/>
          <w:sz w:val="32"/>
          <w:szCs w:val="32"/>
        </w:rPr>
        <w:t>，水系面积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3.78（56.7亩）</w:t>
      </w:r>
      <w:r>
        <w:rPr>
          <w:rFonts w:hint="eastAsia" w:ascii="仿宋" w:hAnsi="仿宋" w:eastAsia="仿宋" w:cs="仿宋"/>
          <w:sz w:val="32"/>
          <w:szCs w:val="32"/>
        </w:rPr>
        <w:t>公顷，绿化面积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13.32</w:t>
      </w:r>
      <w:r>
        <w:rPr>
          <w:rFonts w:hint="eastAsia" w:ascii="仿宋" w:hAnsi="仿宋" w:eastAsia="仿宋" w:cs="仿宋"/>
          <w:sz w:val="32"/>
          <w:szCs w:val="32"/>
        </w:rPr>
        <w:t>公顷。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主要建设了水系、假山、人行道、亮化、溢流堰、</w:t>
      </w:r>
      <w:r>
        <w:rPr>
          <w:rFonts w:hint="eastAsia" w:ascii="仿宋" w:hAnsi="仿宋" w:eastAsia="仿宋" w:cs="仿宋"/>
          <w:sz w:val="32"/>
          <w:szCs w:val="32"/>
        </w:rPr>
        <w:t>绿化及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绿化景观</w:t>
      </w:r>
      <w:r>
        <w:rPr>
          <w:rFonts w:hint="eastAsia" w:ascii="仿宋" w:hAnsi="仿宋" w:eastAsia="仿宋" w:cs="仿宋"/>
          <w:sz w:val="32"/>
          <w:szCs w:val="32"/>
        </w:rPr>
        <w:t>相关配套设施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2.质量指标：合格。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3.社会及生态效益指标：通过该项目建设，</w:t>
      </w:r>
      <w:r>
        <w:rPr>
          <w:rFonts w:hint="eastAsia" w:ascii="仿宋" w:hAnsi="仿宋" w:eastAsia="仿宋" w:cs="仿宋"/>
          <w:sz w:val="32"/>
          <w:szCs w:val="32"/>
        </w:rPr>
        <w:t>完善了城市生态系统，改善了人居环境，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区域休闲设施，更好地满足市民的需要，推动地区生态人文建设进程。</w:t>
      </w:r>
    </w:p>
    <w:p>
      <w:pPr>
        <w:spacing w:line="540" w:lineRule="exact"/>
        <w:ind w:firstLine="564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4.可持续影响指标：该项目建成后预期能够长期使用，由住建局负责后期的管理、维护及运行工作。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该项目绩效目标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分年度实施</w:t>
      </w:r>
      <w:r>
        <w:rPr>
          <w:rFonts w:hint="eastAsia" w:ascii="仿宋_GB2312" w:eastAsia="仿宋_GB2312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00" w:lineRule="exact"/>
        <w:ind w:left="105" w:leftChars="50" w:right="105" w:rightChars="50" w:firstLine="600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一是</w:t>
      </w:r>
      <w:r>
        <w:rPr>
          <w:rFonts w:hint="eastAsia" w:ascii="仿宋" w:hAnsi="仿宋" w:eastAsia="仿宋"/>
          <w:spacing w:val="-4"/>
          <w:sz w:val="32"/>
          <w:szCs w:val="32"/>
        </w:rPr>
        <w:t>加强项目的跟踪落实、后期管理，确保项目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继续建设及建成部分正常使用。</w:t>
      </w:r>
    </w:p>
    <w:p>
      <w:pPr>
        <w:spacing w:line="500" w:lineRule="exact"/>
        <w:ind w:left="105" w:leftChars="50" w:right="105" w:rightChars="50" w:firstLine="6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二是</w:t>
      </w:r>
      <w:r>
        <w:rPr>
          <w:rFonts w:hint="eastAsia" w:ascii="仿宋" w:hAnsi="仿宋" w:eastAsia="仿宋"/>
          <w:spacing w:val="-4"/>
          <w:sz w:val="32"/>
          <w:szCs w:val="32"/>
        </w:rPr>
        <w:t>加强项目资金管理，严格按照资金管理执行，建立收支明细，做到专款专用。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按照建设程序规定</w:t>
      </w:r>
      <w:r>
        <w:rPr>
          <w:rFonts w:hint="eastAsia" w:ascii="仿宋" w:hAnsi="仿宋" w:eastAsia="仿宋"/>
          <w:spacing w:val="-4"/>
          <w:sz w:val="32"/>
          <w:szCs w:val="32"/>
        </w:rPr>
        <w:t>开工建设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及监督</w:t>
      </w:r>
      <w:r>
        <w:rPr>
          <w:rFonts w:hint="eastAsia" w:ascii="仿宋" w:hAnsi="仿宋" w:eastAsia="仿宋"/>
          <w:spacing w:val="-4"/>
          <w:sz w:val="32"/>
          <w:szCs w:val="32"/>
        </w:rPr>
        <w:t>管理，确保项目按要求完工；建立项目的支付明细，做到专款专用。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其他情况无。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该项目的基础数据收集完整，资料来源真实可信，项目的施工、监理通过公开招标的方式确定中标单位，项目现场勘验、检查、核实等情况与实际情况相符。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tbl>
      <w:tblPr>
        <w:tblStyle w:val="16"/>
        <w:tblW w:w="9452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1983"/>
        <w:gridCol w:w="22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玛纳斯县防洪生态景观（三期）建设项目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玛纳斯县住房和城乡建设局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367.18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367.18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367.18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367.18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8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exac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景观水系</w:t>
            </w:r>
            <w:r>
              <w:rPr>
                <w:rFonts w:hint="eastAsia"/>
                <w:lang w:eastAsia="zh-CN"/>
              </w:rPr>
              <w:t>基本</w:t>
            </w:r>
            <w:r>
              <w:rPr>
                <w:rFonts w:hint="eastAsia"/>
              </w:rPr>
              <w:t>完成，完成假山景观绿化、小游园</w:t>
            </w:r>
            <w:r>
              <w:rPr>
                <w:rFonts w:hint="eastAsia"/>
                <w:lang w:eastAsia="zh-CN"/>
              </w:rPr>
              <w:t>建设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  <w:lang w:eastAsia="zh-CN"/>
              </w:rPr>
              <w:t>景观</w:t>
            </w:r>
            <w:r>
              <w:rPr>
                <w:rFonts w:hint="eastAsia"/>
              </w:rPr>
              <w:t>亮化。</w:t>
            </w:r>
          </w:p>
        </w:tc>
        <w:tc>
          <w:tcPr>
            <w:tcW w:w="4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景观水系约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1.8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公里、假山景观绿化约3万平方，富丽华北侧小游园约5000平方，碧玉大道及葡萄酒公园东侧亮化；园路约3公里及附属设施等建设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水系面积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1.8公里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1.8公里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绿化面积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3.5万平方米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3.5万平方米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游园道路硬化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3公里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3公里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碧玉大道亮化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3.5公里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3.5公里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施工质量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工程进度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按照约定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实施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按照约定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成本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31.26万/亩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31.26万/亩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美化了城市，改善了城市空气、降低噪音，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成为居民活动、休憩的重要场所。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美化了城市，改善了城市空气、降低噪音，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成为居民活动、休憩的重要场所。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完善了城市生态系统，改善了人居环境，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增加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区域休闲设施，更好地满足市民的需要，推动地区生态人文建设进程。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完善了城市生态系统，改善了人居环境，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增加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区域休闲设施，更好地满足市民的需要，推动地区生态人文建设进程。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群众满意度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873" w:right="1219" w:bottom="873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39167C"/>
    <w:rsid w:val="067E72E6"/>
    <w:rsid w:val="160B6489"/>
    <w:rsid w:val="191E2B7C"/>
    <w:rsid w:val="1D9C6D78"/>
    <w:rsid w:val="24473BAD"/>
    <w:rsid w:val="256327DF"/>
    <w:rsid w:val="258C1D5B"/>
    <w:rsid w:val="25CE690E"/>
    <w:rsid w:val="27C047DB"/>
    <w:rsid w:val="29EC5D0F"/>
    <w:rsid w:val="2CC56B4B"/>
    <w:rsid w:val="2EB34E4F"/>
    <w:rsid w:val="39C74183"/>
    <w:rsid w:val="3B2F16FB"/>
    <w:rsid w:val="3BF23B3A"/>
    <w:rsid w:val="3DB26F22"/>
    <w:rsid w:val="43A33F56"/>
    <w:rsid w:val="474B69B9"/>
    <w:rsid w:val="4B2D5894"/>
    <w:rsid w:val="4F7A0104"/>
    <w:rsid w:val="52240405"/>
    <w:rsid w:val="553C40C4"/>
    <w:rsid w:val="56070514"/>
    <w:rsid w:val="586879E2"/>
    <w:rsid w:val="5A9D6476"/>
    <w:rsid w:val="5CF04B0E"/>
    <w:rsid w:val="628C1ADD"/>
    <w:rsid w:val="631C0A90"/>
    <w:rsid w:val="63C42FF6"/>
    <w:rsid w:val="691240EF"/>
    <w:rsid w:val="6BBC72DC"/>
    <w:rsid w:val="6C335B47"/>
    <w:rsid w:val="6DA272B4"/>
    <w:rsid w:val="715378E6"/>
    <w:rsid w:val="729C10C5"/>
    <w:rsid w:val="75230B88"/>
    <w:rsid w:val="776321A0"/>
    <w:rsid w:val="7B765F57"/>
    <w:rsid w:val="7CA422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2024-03-28T09:22:26Z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