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800" w:firstLineChars="250"/>
        <w:jc w:val="left"/>
        <w:rPr>
          <w:rFonts w:ascii="仿宋" w:hAnsi="仿宋" w:eastAsia="仿宋" w:cs="仿宋"/>
          <w:kern w:val="0"/>
          <w:sz w:val="32"/>
          <w:szCs w:val="32"/>
        </w:rPr>
      </w:pPr>
      <w:r>
        <w:rPr>
          <w:rFonts w:hint="eastAsia" w:ascii="仿宋" w:hAnsi="仿宋" w:eastAsia="仿宋" w:cs="仿宋"/>
          <w:kern w:val="0"/>
          <w:sz w:val="32"/>
          <w:szCs w:val="32"/>
        </w:rPr>
        <w:t>项目名称：2018年乡村振兴战略州级示范村建设项目</w:t>
      </w:r>
    </w:p>
    <w:p>
      <w:pPr>
        <w:spacing w:line="700" w:lineRule="exact"/>
        <w:jc w:val="left"/>
        <w:rPr>
          <w:rFonts w:ascii="仿宋" w:hAnsi="仿宋" w:eastAsia="仿宋" w:cs="仿宋"/>
          <w:kern w:val="0"/>
          <w:sz w:val="32"/>
          <w:szCs w:val="32"/>
        </w:rPr>
      </w:pPr>
      <w:r>
        <w:rPr>
          <w:rFonts w:hint="eastAsia" w:ascii="仿宋" w:hAnsi="仿宋" w:eastAsia="仿宋" w:cs="仿宋"/>
          <w:kern w:val="0"/>
          <w:sz w:val="32"/>
          <w:szCs w:val="32"/>
        </w:rPr>
        <w:t xml:space="preserve">     实施单位（公章）：玛纳斯县农业局</w:t>
      </w:r>
    </w:p>
    <w:p>
      <w:pPr>
        <w:spacing w:line="700" w:lineRule="exact"/>
        <w:ind w:firstLine="755" w:firstLineChars="236"/>
        <w:jc w:val="left"/>
        <w:rPr>
          <w:rFonts w:ascii="仿宋" w:hAnsi="仿宋" w:eastAsia="仿宋" w:cs="仿宋"/>
          <w:kern w:val="0"/>
          <w:sz w:val="32"/>
          <w:szCs w:val="32"/>
        </w:rPr>
      </w:pPr>
      <w:r>
        <w:rPr>
          <w:rFonts w:hint="eastAsia" w:ascii="仿宋" w:hAnsi="仿宋" w:eastAsia="仿宋" w:cs="仿宋"/>
          <w:kern w:val="0"/>
          <w:sz w:val="32"/>
          <w:szCs w:val="32"/>
        </w:rPr>
        <w:t>主管部门（公章）：玛纳斯县农业局</w:t>
      </w:r>
    </w:p>
    <w:p>
      <w:pPr>
        <w:spacing w:line="700" w:lineRule="exact"/>
        <w:ind w:firstLine="755" w:firstLineChars="236"/>
        <w:jc w:val="left"/>
        <w:rPr>
          <w:rFonts w:ascii="仿宋" w:hAnsi="仿宋" w:eastAsia="仿宋" w:cs="仿宋"/>
          <w:kern w:val="0"/>
          <w:sz w:val="32"/>
          <w:szCs w:val="32"/>
        </w:rPr>
      </w:pPr>
      <w:r>
        <w:rPr>
          <w:rFonts w:hint="eastAsia" w:ascii="仿宋" w:hAnsi="仿宋" w:eastAsia="仿宋" w:cs="仿宋"/>
          <w:kern w:val="0"/>
          <w:sz w:val="32"/>
          <w:szCs w:val="32"/>
        </w:rPr>
        <w:t>项目负责人（签章）：徐平</w:t>
      </w:r>
    </w:p>
    <w:p>
      <w:pPr>
        <w:spacing w:line="700" w:lineRule="exact"/>
        <w:ind w:firstLine="755" w:firstLineChars="236"/>
        <w:jc w:val="left"/>
        <w:rPr>
          <w:rFonts w:ascii="仿宋" w:hAnsi="仿宋" w:eastAsia="仿宋" w:cs="仿宋"/>
          <w:kern w:val="0"/>
          <w:sz w:val="32"/>
          <w:szCs w:val="32"/>
        </w:rPr>
      </w:pPr>
      <w:r>
        <w:rPr>
          <w:rFonts w:hint="eastAsia" w:ascii="仿宋" w:hAnsi="仿宋" w:eastAsia="仿宋" w:cs="仿宋"/>
          <w:kern w:val="0"/>
          <w:sz w:val="32"/>
          <w:szCs w:val="32"/>
        </w:rPr>
        <w:t>填报时间：2019年2月19日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60" w:lineRule="exact"/>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玛纳斯县农业局位于玛纳斯县中华路，农业局编制数9，实有人数11人，其中：行政在职10人，同工同酬人员1人，退休15人。下属农经局、农业综合执法大队、农技推广中心、雷达站、农机局、农机推广站六个二级单位，内设行政办、种植业管理办、农业产业化发展办三个职能办公室。</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adjustRightInd w:val="0"/>
        <w:snapToGrid w:val="0"/>
        <w:spacing w:line="600" w:lineRule="exact"/>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围绕农业产业兴旺发展要求，按照差异化发展思路，对广东地乡小海子村、兰州湾镇下八家户村、清水河乡贝母房子村三个州级示范村建设中农业质量提升、休闲农业建设、合作社发展壮大、特色农业发展等项目建设成果给予以奖代补奖励。</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79" w:firstLineChars="181"/>
        <w:rPr>
          <w:rFonts w:hint="eastAsia" w:ascii="仿宋" w:hAnsi="仿宋" w:eastAsia="仿宋" w:cs="仿宋_GB2312"/>
          <w:color w:val="000000"/>
          <w:sz w:val="32"/>
          <w:szCs w:val="32"/>
          <w:lang w:eastAsia="zh-CN"/>
        </w:rPr>
      </w:pPr>
      <w:r>
        <w:rPr>
          <w:rFonts w:hint="eastAsia" w:ascii="仿宋" w:hAnsi="仿宋" w:eastAsia="仿宋" w:cs="仿宋_GB2312"/>
          <w:color w:val="000000"/>
          <w:sz w:val="32"/>
          <w:szCs w:val="32"/>
          <w:lang w:val="en-US" w:eastAsia="zh-CN"/>
        </w:rPr>
        <w:t>2018年</w:t>
      </w:r>
      <w:r>
        <w:rPr>
          <w:rFonts w:hint="eastAsia" w:ascii="仿宋" w:hAnsi="仿宋" w:eastAsia="仿宋" w:cs="仿宋_GB2312"/>
          <w:color w:val="000000"/>
          <w:sz w:val="32"/>
          <w:szCs w:val="32"/>
        </w:rPr>
        <w:t>每个示范村以奖代补资金50万元</w:t>
      </w:r>
      <w:r>
        <w:rPr>
          <w:rFonts w:ascii="仿宋" w:hAnsi="仿宋" w:eastAsia="仿宋" w:cs="仿宋_GB2312"/>
          <w:color w:val="000000"/>
          <w:sz w:val="32"/>
          <w:szCs w:val="32"/>
        </w:rPr>
        <w:t>，共</w:t>
      </w:r>
      <w:r>
        <w:rPr>
          <w:rFonts w:hint="eastAsia" w:ascii="仿宋" w:hAnsi="仿宋" w:eastAsia="仿宋" w:cs="仿宋_GB2312"/>
          <w:color w:val="000000"/>
          <w:sz w:val="32"/>
          <w:szCs w:val="32"/>
        </w:rPr>
        <w:t>150</w:t>
      </w:r>
      <w:r>
        <w:rPr>
          <w:rFonts w:ascii="仿宋" w:hAnsi="仿宋" w:eastAsia="仿宋" w:cs="仿宋_GB2312"/>
          <w:color w:val="000000"/>
          <w:sz w:val="32"/>
          <w:szCs w:val="32"/>
        </w:rPr>
        <w:t>万元</w:t>
      </w:r>
      <w:r>
        <w:rPr>
          <w:rFonts w:hint="eastAsia" w:ascii="仿宋" w:hAnsi="仿宋" w:eastAsia="仿宋" w:cs="仿宋_GB2312"/>
          <w:color w:val="000000"/>
          <w:sz w:val="32"/>
          <w:szCs w:val="32"/>
        </w:rPr>
        <w:t>，</w:t>
      </w:r>
      <w:r>
        <w:rPr>
          <w:rStyle w:val="18"/>
          <w:rFonts w:hint="eastAsia" w:ascii="仿宋" w:hAnsi="仿宋" w:eastAsia="仿宋" w:cs="仿宋"/>
          <w:b w:val="0"/>
          <w:spacing w:val="-4"/>
          <w:sz w:val="32"/>
          <w:szCs w:val="32"/>
          <w:highlight w:val="none"/>
        </w:rPr>
        <w:t>全部为州财政补助资金</w:t>
      </w:r>
      <w:r>
        <w:rPr>
          <w:rStyle w:val="18"/>
          <w:rFonts w:hint="eastAsia" w:ascii="仿宋" w:hAnsi="仿宋" w:eastAsia="仿宋" w:cs="仿宋"/>
          <w:b w:val="0"/>
          <w:spacing w:val="-4"/>
          <w:sz w:val="32"/>
          <w:szCs w:val="32"/>
          <w:highlight w:val="none"/>
          <w:lang w:eastAsia="zh-CN"/>
        </w:rPr>
        <w:t>，</w:t>
      </w:r>
      <w:r>
        <w:rPr>
          <w:rFonts w:hint="eastAsia" w:ascii="仿宋" w:hAnsi="仿宋" w:eastAsia="仿宋" w:cs="仿宋_GB2312"/>
          <w:color w:val="000000"/>
          <w:sz w:val="32"/>
          <w:szCs w:val="32"/>
        </w:rPr>
        <w:t>资金已全部到位</w:t>
      </w:r>
      <w:r>
        <w:rPr>
          <w:rFonts w:hint="eastAsia" w:ascii="仿宋" w:hAnsi="仿宋" w:eastAsia="仿宋" w:cs="仿宋_GB2312"/>
          <w:color w:val="000000"/>
          <w:sz w:val="32"/>
          <w:szCs w:val="32"/>
          <w:lang w:eastAsia="zh-CN"/>
        </w:rPr>
        <w:t>，项目已全部实施完毕。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600" w:lineRule="exact"/>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广东地乡小海子村依托旅游资源、水资源丰富，土壤富硒等优势，因地制宜发展高效农业、果蔬采摘、花卉观赏、水产养殖和农家餐饮等产业，促进农村生态、景观等资源优势转化为产业经济优势，打造玛场湖富硒蟹米、硒来乐果蔬等多个富硒农产品和采摘园品牌，有机生态产业实现提质扩量。</w:t>
      </w:r>
    </w:p>
    <w:p>
      <w:pPr>
        <w:spacing w:line="600" w:lineRule="exact"/>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兰州湾镇下八家户村深入推进现代农业，推广种养结合等新型农作制度，大力发展精致高效农业，扩大无公害农产品、绿色食品、有机食品生产。突出培养具有地方特色的“名、特、优、新”产品，推进“一村一品”的生态农业，致力打造一批农家乐、果蔬采摘园、特色农产品初加工等生态农业专业村，增强特色产业、主导产业的示范带动作用。</w:t>
      </w:r>
    </w:p>
    <w:p>
      <w:pPr>
        <w:spacing w:line="600" w:lineRule="exact"/>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清水河乡贝母房子村依托周边村庄独特的自然环境、田园风光、生产经营业态、哈萨克民俗风情、农耕文化、乡村聚落、古遗迹古墓等优势资源，发展牧区特色产业，走差异化发展道路，加快推进“南部明珠，牧民新村”乡村振兴战略建设模式，抓实贝母房子村乡村振兴示范村各项工作，做到以点带面、稳步推进。</w:t>
      </w:r>
      <w:r>
        <w:rPr>
          <w:rFonts w:ascii="仿宋" w:hAnsi="仿宋" w:eastAsia="仿宋" w:cs="仿宋_GB2312"/>
          <w:color w:val="000000"/>
          <w:sz w:val="32"/>
          <w:szCs w:val="32"/>
        </w:rPr>
        <w:t>。</w:t>
      </w:r>
    </w:p>
    <w:p>
      <w:pPr>
        <w:spacing w:line="600" w:lineRule="exact"/>
        <w:ind w:firstLine="600" w:firstLineChars="200"/>
        <w:jc w:val="left"/>
        <w:rPr>
          <w:rFonts w:ascii="仿宋" w:hAnsi="仿宋" w:eastAsia="仿宋" w:cs="仿宋_GB2312"/>
          <w:color w:val="000000"/>
          <w:sz w:val="30"/>
          <w:szCs w:val="30"/>
        </w:rPr>
      </w:pPr>
      <w:r>
        <w:rPr>
          <w:rFonts w:hint="eastAsia" w:ascii="仿宋" w:hAnsi="仿宋" w:eastAsia="仿宋" w:cs="仿宋_GB2312"/>
          <w:color w:val="000000"/>
          <w:sz w:val="30"/>
          <w:szCs w:val="30"/>
        </w:rPr>
        <w:t>以上资金均按照项目计划实施后给予拨付到位。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600" w:lineRule="exact"/>
        <w:ind w:firstLine="640" w:firstLineChars="200"/>
        <w:rPr>
          <w:rStyle w:val="18"/>
          <w:rFonts w:ascii="仿宋" w:hAnsi="仿宋" w:eastAsia="仿宋"/>
          <w:b w:val="0"/>
          <w:spacing w:val="-4"/>
          <w:sz w:val="32"/>
          <w:szCs w:val="32"/>
        </w:rPr>
      </w:pPr>
      <w:r>
        <w:rPr>
          <w:rFonts w:hint="eastAsia" w:ascii="仿宋" w:hAnsi="仿宋" w:eastAsia="仿宋" w:cs="仿宋_GB2312"/>
          <w:kern w:val="0"/>
          <w:sz w:val="32"/>
          <w:szCs w:val="32"/>
        </w:rPr>
        <w:t>项目资金划拨我县后，玛纳斯县农业局根据项目资金使用方案经过领导班子上会研究后制定了严格的使用安排。并要求各示范村对支出资金使用的相关财务票据准备齐全，工作完成情况详细总结，经过农业局财务室审核合格后进行划拨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600" w:lineRule="exact"/>
        <w:ind w:firstLine="640" w:firstLineChars="200"/>
        <w:rPr>
          <w:rStyle w:val="18"/>
          <w:rFonts w:ascii="仿宋" w:hAnsi="仿宋" w:eastAsia="仿宋"/>
          <w:b w:val="0"/>
          <w:spacing w:val="-4"/>
          <w:sz w:val="32"/>
          <w:szCs w:val="32"/>
        </w:rPr>
      </w:pPr>
      <w:r>
        <w:rPr>
          <w:rFonts w:ascii="仿宋" w:hAnsi="仿宋" w:eastAsia="仿宋" w:cs="仿宋_GB2312"/>
          <w:color w:val="000000"/>
          <w:sz w:val="32"/>
          <w:szCs w:val="32"/>
        </w:rPr>
        <w:t>根据</w:t>
      </w:r>
      <w:r>
        <w:rPr>
          <w:rFonts w:hint="eastAsia" w:ascii="仿宋" w:hAnsi="仿宋" w:eastAsia="仿宋" w:cs="仿宋_GB2312"/>
          <w:color w:val="000000"/>
          <w:sz w:val="32"/>
          <w:szCs w:val="32"/>
        </w:rPr>
        <w:t>各州级示范村2018年乡村振兴实施方案中产业兴旺计划，</w:t>
      </w:r>
      <w:r>
        <w:rPr>
          <w:rFonts w:ascii="仿宋" w:hAnsi="仿宋" w:eastAsia="仿宋" w:cs="仿宋_GB2312"/>
          <w:color w:val="000000"/>
          <w:sz w:val="32"/>
          <w:szCs w:val="32"/>
        </w:rPr>
        <w:t>落实</w:t>
      </w:r>
      <w:r>
        <w:rPr>
          <w:rFonts w:hint="eastAsia" w:ascii="仿宋" w:hAnsi="仿宋" w:eastAsia="仿宋" w:cs="仿宋_GB2312"/>
          <w:color w:val="000000"/>
          <w:sz w:val="32"/>
          <w:szCs w:val="32"/>
        </w:rPr>
        <w:t>产业发展内容，建设电商平台、打造特色餐饮业、休闲农业产业提升行动、优质产业基地建设等。</w:t>
      </w:r>
      <w:r>
        <w:rPr>
          <w:rFonts w:hint="eastAsia" w:cs="仿宋_GB2312"/>
          <w:bCs/>
          <w:color w:val="000000"/>
        </w:rPr>
        <w:t>实</w:t>
      </w:r>
      <w:r>
        <w:rPr>
          <w:rStyle w:val="18"/>
          <w:rFonts w:hint="eastAsia" w:ascii="仿宋" w:hAnsi="仿宋" w:eastAsia="仿宋"/>
          <w:b w:val="0"/>
          <w:spacing w:val="-4"/>
          <w:sz w:val="32"/>
          <w:szCs w:val="32"/>
        </w:rPr>
        <w:t>施过程中农业局不定期进行督促、指导项目完成，综合评价项目实施效果，情况较好。</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600" w:lineRule="exact"/>
        <w:ind w:firstLine="640" w:firstLineChars="200"/>
        <w:rPr>
          <w:rStyle w:val="18"/>
          <w:rFonts w:ascii="仿宋" w:hAnsi="仿宋" w:eastAsia="仿宋"/>
          <w:b w:val="0"/>
          <w:spacing w:val="-4"/>
          <w:sz w:val="32"/>
          <w:szCs w:val="32"/>
        </w:rPr>
      </w:pPr>
      <w:r>
        <w:rPr>
          <w:rFonts w:hint="eastAsia" w:ascii="仿宋" w:hAnsi="仿宋" w:eastAsia="仿宋" w:cs="仿宋_GB2312"/>
          <w:kern w:val="0"/>
          <w:sz w:val="32"/>
          <w:szCs w:val="32"/>
        </w:rPr>
        <w:t>县农业局对乡村振兴州级示范村产业兴旺项目实施进行全程指导、监督完成。对示范村村民进行问卷调查，确保群众满意度较好。</w:t>
      </w:r>
      <w:r>
        <w:rPr>
          <w:rStyle w:val="18"/>
          <w:rFonts w:hint="eastAsia" w:ascii="仿宋" w:hAnsi="仿宋" w:eastAsia="仿宋" w:cs="仿宋"/>
          <w:b w:val="0"/>
          <w:spacing w:val="-4"/>
          <w:sz w:val="32"/>
          <w:szCs w:val="32"/>
        </w:rPr>
        <w:t>严格执行岗位责任制，充分论证项目实施方案可操作性，督促目标完成，加强对资金使用情况的管理。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58"/>
        <w:rPr>
          <w:rStyle w:val="18"/>
          <w:rFonts w:hint="eastAsia" w:ascii="仿宋" w:hAnsi="仿宋" w:eastAsia="仿宋"/>
          <w:b w:val="0"/>
          <w:spacing w:val="-4"/>
          <w:sz w:val="32"/>
          <w:szCs w:val="32"/>
        </w:rPr>
      </w:pPr>
      <w:r>
        <w:rPr>
          <w:rFonts w:hint="eastAsia" w:ascii="仿宋" w:hAnsi="仿宋" w:eastAsia="仿宋"/>
          <w:color w:val="000000"/>
          <w:sz w:val="32"/>
          <w:szCs w:val="32"/>
        </w:rPr>
        <w:t>通过2018年为期一年的项目实施，较好地完成了项目的预期目标。</w:t>
      </w:r>
      <w:r>
        <w:rPr>
          <w:rFonts w:hint="eastAsia" w:ascii="仿宋" w:hAnsi="仿宋" w:eastAsia="仿宋"/>
          <w:bCs/>
          <w:spacing w:val="-4"/>
          <w:sz w:val="32"/>
          <w:szCs w:val="32"/>
        </w:rPr>
        <w:t>已完成强制应激反应各项工作</w:t>
      </w:r>
      <w:r>
        <w:rPr>
          <w:rStyle w:val="18"/>
          <w:rFonts w:hint="eastAsia" w:ascii="仿宋" w:hAnsi="仿宋" w:eastAsia="仿宋"/>
          <w:b w:val="0"/>
          <w:spacing w:val="-4"/>
          <w:sz w:val="32"/>
          <w:szCs w:val="32"/>
        </w:rPr>
        <w:t>。</w:t>
      </w:r>
    </w:p>
    <w:p>
      <w:pPr>
        <w:adjustRightInd w:val="0"/>
        <w:snapToGrid w:val="0"/>
        <w:spacing w:line="560" w:lineRule="exact"/>
        <w:ind w:firstLine="658"/>
        <w:rPr>
          <w:rFonts w:hint="eastAsia" w:ascii="仿宋" w:hAnsi="仿宋" w:eastAsia="仿宋"/>
          <w:color w:val="000000"/>
          <w:sz w:val="32"/>
          <w:szCs w:val="32"/>
        </w:rPr>
      </w:pPr>
      <w:r>
        <w:rPr>
          <w:rStyle w:val="18"/>
          <w:rFonts w:hint="eastAsia" w:ascii="仿宋" w:hAnsi="仿宋" w:eastAsia="仿宋"/>
          <w:spacing w:val="-4"/>
          <w:sz w:val="32"/>
          <w:szCs w:val="32"/>
        </w:rPr>
        <w:t>项目的经济性分析：</w:t>
      </w:r>
      <w:r>
        <w:rPr>
          <w:rFonts w:hint="eastAsia" w:ascii="仿宋" w:hAnsi="仿宋" w:eastAsia="仿宋"/>
          <w:color w:val="000000"/>
          <w:sz w:val="32"/>
          <w:szCs w:val="32"/>
        </w:rPr>
        <w:t>该项目预算资金</w:t>
      </w:r>
      <w:r>
        <w:rPr>
          <w:rFonts w:hint="eastAsia" w:ascii="仿宋" w:hAnsi="仿宋" w:eastAsia="仿宋"/>
          <w:color w:val="000000"/>
          <w:sz w:val="32"/>
          <w:szCs w:val="32"/>
          <w:lang w:val="en-US" w:eastAsia="zh-CN"/>
        </w:rPr>
        <w:t>150</w:t>
      </w:r>
      <w:r>
        <w:rPr>
          <w:rFonts w:hint="eastAsia" w:ascii="仿宋" w:hAnsi="仿宋" w:eastAsia="仿宋"/>
          <w:color w:val="000000"/>
          <w:sz w:val="32"/>
          <w:szCs w:val="32"/>
        </w:rPr>
        <w:t>万元，实际支出</w:t>
      </w:r>
      <w:r>
        <w:rPr>
          <w:rFonts w:hint="eastAsia" w:ascii="仿宋" w:hAnsi="仿宋" w:eastAsia="仿宋"/>
          <w:color w:val="000000"/>
          <w:sz w:val="32"/>
          <w:szCs w:val="32"/>
          <w:lang w:val="en-US" w:eastAsia="zh-CN"/>
        </w:rPr>
        <w:t>150</w:t>
      </w:r>
      <w:r>
        <w:rPr>
          <w:rFonts w:hint="eastAsia" w:ascii="仿宋" w:hAnsi="仿宋" w:eastAsia="仿宋"/>
          <w:color w:val="000000"/>
          <w:sz w:val="32"/>
          <w:szCs w:val="32"/>
        </w:rPr>
        <w:t>万元，在确保工作任务没有减少的情况下，预算控制和成本控制方面没有超出预算成本。</w:t>
      </w:r>
    </w:p>
    <w:p>
      <w:pPr>
        <w:adjustRightInd w:val="0"/>
        <w:snapToGrid w:val="0"/>
        <w:spacing w:line="560" w:lineRule="exact"/>
        <w:ind w:firstLine="658"/>
        <w:rPr>
          <w:rFonts w:hint="eastAsia" w:ascii="仿宋" w:hAnsi="仿宋" w:eastAsia="仿宋"/>
          <w:color w:val="000000"/>
          <w:sz w:val="32"/>
          <w:szCs w:val="32"/>
        </w:rPr>
      </w:pPr>
      <w:r>
        <w:rPr>
          <w:rFonts w:hint="eastAsia" w:ascii="仿宋" w:hAnsi="仿宋" w:eastAsia="仿宋"/>
          <w:b/>
          <w:color w:val="000000"/>
          <w:sz w:val="32"/>
          <w:szCs w:val="32"/>
        </w:rPr>
        <w:t>项目的效率性分析：</w:t>
      </w:r>
      <w:r>
        <w:rPr>
          <w:rFonts w:hint="eastAsia" w:ascii="仿宋" w:hAnsi="仿宋" w:eastAsia="仿宋"/>
          <w:color w:val="000000"/>
          <w:sz w:val="32"/>
          <w:szCs w:val="32"/>
        </w:rPr>
        <w:t>在项目资金到位之后，及时进行</w:t>
      </w:r>
      <w:r>
        <w:rPr>
          <w:rFonts w:hint="eastAsia" w:ascii="仿宋" w:hAnsi="仿宋" w:eastAsia="仿宋"/>
          <w:color w:val="000000"/>
          <w:sz w:val="32"/>
          <w:szCs w:val="32"/>
          <w:lang w:eastAsia="zh-CN"/>
        </w:rPr>
        <w:t>发放</w:t>
      </w:r>
      <w:r>
        <w:rPr>
          <w:rFonts w:hint="eastAsia" w:ascii="仿宋" w:hAnsi="仿宋" w:eastAsia="仿宋"/>
          <w:color w:val="000000"/>
          <w:sz w:val="32"/>
          <w:szCs w:val="32"/>
        </w:rPr>
        <w:t>，保证了资金的发放效率</w:t>
      </w:r>
      <w:r>
        <w:rPr>
          <w:rFonts w:hint="eastAsia" w:ascii="仿宋" w:hAnsi="仿宋" w:eastAsia="仿宋"/>
          <w:color w:val="000000"/>
          <w:sz w:val="32"/>
          <w:szCs w:val="32"/>
          <w:lang w:eastAsia="zh-CN"/>
        </w:rPr>
        <w:t>，项目的实施进度</w:t>
      </w:r>
      <w:r>
        <w:rPr>
          <w:rFonts w:hint="eastAsia" w:ascii="仿宋" w:hAnsi="仿宋" w:eastAsia="仿宋"/>
          <w:color w:val="000000"/>
          <w:sz w:val="32"/>
          <w:szCs w:val="32"/>
        </w:rPr>
        <w:t>。</w:t>
      </w:r>
    </w:p>
    <w:p>
      <w:pPr>
        <w:adjustRightInd w:val="0"/>
        <w:snapToGrid w:val="0"/>
        <w:spacing w:line="560" w:lineRule="exact"/>
        <w:ind w:firstLine="658"/>
        <w:rPr>
          <w:rFonts w:hint="eastAsia" w:ascii="仿宋" w:hAnsi="仿宋" w:eastAsia="仿宋"/>
          <w:color w:val="000000"/>
          <w:sz w:val="32"/>
          <w:szCs w:val="32"/>
        </w:rPr>
      </w:pPr>
      <w:r>
        <w:rPr>
          <w:rFonts w:hint="eastAsia" w:ascii="仿宋" w:hAnsi="仿宋" w:eastAsia="仿宋"/>
          <w:b/>
          <w:bCs/>
          <w:color w:val="000000"/>
          <w:sz w:val="32"/>
          <w:szCs w:val="32"/>
        </w:rPr>
        <w:t>项目的效益性分析</w:t>
      </w:r>
      <w:r>
        <w:rPr>
          <w:rFonts w:hint="eastAsia" w:ascii="仿宋" w:hAnsi="仿宋" w:eastAsia="仿宋"/>
          <w:color w:val="000000"/>
          <w:sz w:val="32"/>
          <w:szCs w:val="32"/>
        </w:rPr>
        <w:t>：广东地乡小海子村、兰州湾镇下八家户村、清水河乡贝母房子村三个州级示范村农业质量提升、休闲农业建设、合作社发展壮大、特色农业发展效果明显。</w:t>
      </w:r>
    </w:p>
    <w:p>
      <w:pPr>
        <w:adjustRightInd w:val="0"/>
        <w:snapToGrid w:val="0"/>
        <w:spacing w:line="560" w:lineRule="exact"/>
        <w:ind w:firstLine="658"/>
        <w:rPr>
          <w:rFonts w:hint="eastAsia"/>
        </w:rPr>
      </w:pPr>
      <w:r>
        <w:rPr>
          <w:rFonts w:hint="eastAsia" w:ascii="仿宋" w:hAnsi="仿宋" w:eastAsia="仿宋"/>
          <w:b/>
          <w:bCs/>
          <w:color w:val="000000"/>
          <w:sz w:val="32"/>
          <w:szCs w:val="32"/>
        </w:rPr>
        <w:t>项目的可持续性分析</w:t>
      </w:r>
      <w:r>
        <w:rPr>
          <w:rFonts w:hint="eastAsia" w:ascii="仿宋" w:hAnsi="仿宋" w:eastAsia="仿宋"/>
          <w:color w:val="000000"/>
          <w:sz w:val="32"/>
          <w:szCs w:val="32"/>
        </w:rPr>
        <w:t>：通过该项目的实施，小海子村获得州级休闲农业示范村荣誉称号。清水河乡贝母房子村依托合作组织正在向国家绿色食品发展中心申请有机牧草、生态冷鲜肉、鲜奶及奶制品等“三品一标”认证，建立线上线下外销平台，通过电商及各类媒体强有力的宣传推介，不断提高农副产品附加值。兰州湾镇下八家户村依托国家湿地公园首先将3-4户庭院出租，经营特色餐饮，吸引过往游客前来食宿，提高知名度，进而调动当地居民积极性，运行自己的庭院，最终通过餐饮、住宿的发展壮大庭院经济增加居民收入。</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552" w:firstLineChars="200"/>
        <w:rPr>
          <w:rFonts w:ascii="仿宋" w:hAnsi="仿宋" w:eastAsia="仿宋" w:cs="宋体"/>
          <w:color w:val="333333"/>
          <w:spacing w:val="-22"/>
          <w:kern w:val="0"/>
          <w:sz w:val="32"/>
          <w:szCs w:val="32"/>
        </w:rPr>
      </w:pPr>
      <w:r>
        <w:rPr>
          <w:rFonts w:hint="eastAsia" w:ascii="仿宋" w:hAnsi="仿宋" w:eastAsia="仿宋" w:cs="宋体"/>
          <w:color w:val="333333"/>
          <w:spacing w:val="-22"/>
          <w:kern w:val="0"/>
          <w:sz w:val="32"/>
          <w:szCs w:val="32"/>
        </w:rPr>
        <w:t>项目已实施完毕，绩效目标均已达到。</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 w:hAnsi="仿宋" w:eastAsia="仿宋" w:cs="仿宋_GB2312"/>
          <w:color w:val="000000"/>
          <w:sz w:val="32"/>
          <w:szCs w:val="32"/>
        </w:rPr>
      </w:pPr>
      <w:r>
        <w:rPr>
          <w:rFonts w:hint="eastAsia" w:ascii="仿宋" w:hAnsi="仿宋" w:eastAsia="仿宋" w:cs="仿宋_GB2312"/>
          <w:b/>
          <w:bCs/>
          <w:sz w:val="32"/>
          <w:szCs w:val="32"/>
        </w:rPr>
        <w:t>1、推进项目建设。</w:t>
      </w:r>
      <w:r>
        <w:rPr>
          <w:rFonts w:hint="eastAsia" w:ascii="仿宋" w:hAnsi="仿宋" w:eastAsia="仿宋" w:cs="仿宋_GB2312"/>
          <w:color w:val="000000"/>
          <w:sz w:val="32"/>
          <w:szCs w:val="32"/>
        </w:rPr>
        <w:t>继续争取项目扶持，并加大乡、村自筹资金投入，为示范村建设提供资金保障。对已争取的项目，积极跟踪对接，狠抓落实，尤其是乡村振兴、壮大村集体建设项目，把握时机，找准发展定位，全力以赴配合完成项目实施。优化升级农业主导产业，引导支持发展特色产品和特色产业，加大农产品三品一标认证力度，积极吸纳外来投资，发展富硒农产品加工、特色餐饮等项目，促进经济融合发展。</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 w:hAnsi="仿宋" w:eastAsia="仿宋" w:cs="仿宋_GB2312"/>
          <w:color w:val="000000"/>
          <w:sz w:val="32"/>
          <w:szCs w:val="32"/>
        </w:rPr>
      </w:pPr>
      <w:r>
        <w:rPr>
          <w:rFonts w:hint="eastAsia" w:ascii="楷体_GB2312" w:hAnsi="楷体_GB2312" w:eastAsia="楷体_GB2312" w:cs="楷体_GB2312"/>
          <w:b/>
          <w:sz w:val="32"/>
          <w:szCs w:val="32"/>
        </w:rPr>
        <w:t>2、突出建管并重。</w:t>
      </w:r>
      <w:r>
        <w:rPr>
          <w:rFonts w:hint="eastAsia" w:ascii="仿宋" w:hAnsi="仿宋" w:eastAsia="仿宋" w:cs="仿宋_GB2312"/>
          <w:color w:val="000000"/>
          <w:sz w:val="32"/>
          <w:szCs w:val="32"/>
        </w:rPr>
        <w:t>研究制订村庄环境卫生长效管理办法，明确具体实施范围及责任主体，按照“公共卫生保洁好、园林绿化养护好、基础设施维护好”的总体要求，着重强化经费保障和监督考核。积极探索农村社区物业管理，以市场化方式建立村庄基础设施、公共服务设施与环境卫生保洁的长效管理机制。</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 w:hAnsi="仿宋" w:eastAsia="仿宋" w:cs="仿宋_GB2312"/>
          <w:color w:val="000000"/>
          <w:sz w:val="32"/>
          <w:szCs w:val="32"/>
        </w:rPr>
      </w:pPr>
      <w:r>
        <w:rPr>
          <w:rFonts w:hint="eastAsia" w:ascii="楷体_GB2312" w:hAnsi="楷体_GB2312" w:eastAsia="楷体_GB2312" w:cs="楷体_GB2312"/>
          <w:b/>
          <w:sz w:val="32"/>
          <w:szCs w:val="32"/>
        </w:rPr>
        <w:t>3、提升产业活力。</w:t>
      </w:r>
      <w:r>
        <w:rPr>
          <w:rFonts w:hint="eastAsia" w:ascii="仿宋" w:hAnsi="仿宋" w:eastAsia="仿宋" w:cs="仿宋_GB2312"/>
          <w:color w:val="000000"/>
          <w:sz w:val="32"/>
          <w:szCs w:val="32"/>
        </w:rPr>
        <w:t>结合现有现代农业示范区建设，走有机生态农业建设道路，延长农业生产产业链，提高农产品附加值，拓宽农民增收渠道，加快增收步伐。抓好产业培育和发展，丰富农村综合产权交易内容，抓好村级资产的盘活和开发，大力发展休闲农业与乡村旅游，推进创建从“建设村庄”向“经营村庄”提升。</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楷体" w:hAnsi="楷体" w:eastAsia="楷体"/>
          <w:b/>
          <w:spacing w:val="-4"/>
          <w:sz w:val="32"/>
          <w:szCs w:val="32"/>
        </w:rPr>
      </w:pPr>
      <w:r>
        <w:rPr>
          <w:rFonts w:hint="eastAsia" w:ascii="楷体" w:hAnsi="楷体" w:eastAsia="楷体" w:cs="仿宋_GB2312"/>
          <w:b/>
          <w:bCs/>
          <w:sz w:val="32"/>
          <w:szCs w:val="32"/>
        </w:rPr>
        <w:t>（二）</w:t>
      </w:r>
      <w:r>
        <w:rPr>
          <w:rFonts w:hint="eastAsia" w:ascii="楷体" w:hAnsi="楷体" w:eastAsia="楷体"/>
          <w:b/>
          <w:spacing w:val="-4"/>
          <w:sz w:val="32"/>
          <w:szCs w:val="32"/>
        </w:rPr>
        <w:t>主要经验及做法、存在问题和建议</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hint="eastAsia" w:ascii="仿宋" w:hAnsi="仿宋" w:eastAsia="仿宋" w:cs="宋体"/>
          <w:b/>
          <w:color w:val="000000"/>
          <w:sz w:val="32"/>
          <w:szCs w:val="32"/>
          <w:lang w:eastAsia="zh-CN"/>
        </w:rPr>
      </w:pPr>
      <w:r>
        <w:rPr>
          <w:rFonts w:hint="eastAsia" w:ascii="仿宋" w:hAnsi="仿宋" w:eastAsia="仿宋" w:cs="宋体"/>
          <w:b/>
          <w:color w:val="000000"/>
          <w:sz w:val="32"/>
          <w:szCs w:val="32"/>
          <w:lang w:eastAsia="zh-CN"/>
        </w:rPr>
        <w:t>主要经验及做法：</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 w:hAnsi="仿宋" w:eastAsia="仿宋" w:cs="仿宋_GB2312"/>
          <w:color w:val="000000"/>
          <w:sz w:val="32"/>
          <w:szCs w:val="32"/>
        </w:rPr>
      </w:pPr>
      <w:r>
        <w:rPr>
          <w:rFonts w:hint="eastAsia" w:ascii="仿宋" w:hAnsi="仿宋" w:eastAsia="仿宋" w:cs="宋体"/>
          <w:b/>
          <w:color w:val="000000"/>
          <w:sz w:val="32"/>
          <w:szCs w:val="32"/>
        </w:rPr>
        <w:t>1、坚持优化顶层设计。</w:t>
      </w:r>
      <w:r>
        <w:rPr>
          <w:rFonts w:hint="eastAsia" w:ascii="仿宋" w:hAnsi="仿宋" w:eastAsia="仿宋" w:cs="仿宋_GB2312"/>
          <w:color w:val="000000"/>
          <w:sz w:val="32"/>
          <w:szCs w:val="32"/>
        </w:rPr>
        <w:t>制定下发玛纳斯县乡村振兴战略实施方案，完成17个乡村振兴示范村规划修编，其中重点培育广东地小海子村等3个州级示范村。建立“八统一、六配套、三整治、一申报”工作机制，促进乡村振兴战略在我县有效发展。</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 w:hAnsi="仿宋" w:eastAsia="仿宋" w:cs="仿宋_GB2312"/>
          <w:color w:val="000000"/>
          <w:sz w:val="32"/>
          <w:szCs w:val="32"/>
        </w:rPr>
      </w:pPr>
      <w:r>
        <w:rPr>
          <w:rFonts w:hint="eastAsia" w:ascii="仿宋" w:hAnsi="仿宋" w:eastAsia="仿宋" w:cs="宋体"/>
          <w:b/>
          <w:color w:val="000000"/>
          <w:sz w:val="32"/>
          <w:szCs w:val="32"/>
        </w:rPr>
        <w:t>2、不断强化要素支撑。</w:t>
      </w:r>
      <w:r>
        <w:rPr>
          <w:rFonts w:hint="eastAsia" w:ascii="仿宋" w:hAnsi="仿宋" w:eastAsia="仿宋" w:cs="仿宋_GB2312"/>
          <w:color w:val="000000"/>
          <w:sz w:val="32"/>
          <w:szCs w:val="32"/>
        </w:rPr>
        <w:t>引导资本、技术、人才等要素更多向农村流动，县财政安排专项、整合各类资金1.77亿元，重点投向农村基础建设、特色产业培育、农牧民技能培训等领域。</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 w:hAnsi="仿宋" w:eastAsia="仿宋" w:cs="仿宋_GB2312"/>
          <w:color w:val="000000"/>
          <w:sz w:val="32"/>
          <w:szCs w:val="32"/>
        </w:rPr>
      </w:pPr>
      <w:r>
        <w:rPr>
          <w:rFonts w:hint="eastAsia" w:ascii="仿宋" w:hAnsi="仿宋" w:eastAsia="仿宋" w:cs="宋体"/>
          <w:b/>
          <w:color w:val="000000"/>
          <w:sz w:val="32"/>
          <w:szCs w:val="32"/>
        </w:rPr>
        <w:t>3、提升增强产业发展。</w:t>
      </w:r>
      <w:r>
        <w:rPr>
          <w:rFonts w:hint="eastAsia" w:ascii="仿宋" w:hAnsi="仿宋" w:eastAsia="仿宋" w:cs="仿宋_GB2312"/>
          <w:color w:val="000000"/>
          <w:sz w:val="32"/>
          <w:szCs w:val="32"/>
        </w:rPr>
        <w:t>以乡村旅游为重点，在农区重点发展休闲农业、观光农业、体验农业，在牧区发展林下经济、牧家乐、民族刺绣等产业，拓宽农牧民增收渠道。新打造林下观光示范点11个。同时发挥援疆带动作用，在全疆率先启动实施“一县援一村”产业援疆帮扶工程，10个援疆项目顺利实施，产业援疆扎实推进。</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 w:hAnsi="仿宋" w:eastAsia="仿宋" w:cs="仿宋_GB2312"/>
          <w:color w:val="000000"/>
          <w:sz w:val="32"/>
          <w:szCs w:val="32"/>
        </w:rPr>
      </w:pPr>
      <w:r>
        <w:rPr>
          <w:rFonts w:hint="eastAsia" w:ascii="仿宋" w:hAnsi="仿宋" w:eastAsia="仿宋" w:cs="宋体"/>
          <w:b/>
          <w:color w:val="000000"/>
          <w:sz w:val="32"/>
          <w:szCs w:val="32"/>
        </w:rPr>
        <w:t>4、持续改善人居环境。</w:t>
      </w:r>
      <w:r>
        <w:rPr>
          <w:rFonts w:hint="eastAsia" w:ascii="仿宋" w:hAnsi="仿宋" w:eastAsia="仿宋" w:cs="仿宋_GB2312"/>
          <w:color w:val="000000"/>
          <w:sz w:val="32"/>
          <w:szCs w:val="32"/>
        </w:rPr>
        <w:t>启动城乡生活污水管网一体化规划建设，将城区周边8个乡镇生活污水统一纳入城镇管网收集处理，新建乡镇村污水处理设施项目2个，改造农村水冲式厕所1000户。推进乡村“绿色廊道”建设，35个村绿化覆盖率达到30%以上。安居富民工程完成1144户，人居环境改善得到有效提升。</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 w:hAnsi="仿宋" w:eastAsia="仿宋" w:cs="仿宋_GB2312"/>
          <w:color w:val="000000"/>
          <w:sz w:val="32"/>
          <w:szCs w:val="32"/>
        </w:rPr>
      </w:pPr>
      <w:r>
        <w:rPr>
          <w:rFonts w:hint="eastAsia" w:ascii="仿宋" w:hAnsi="仿宋" w:eastAsia="仿宋" w:cs="宋体"/>
          <w:b/>
          <w:color w:val="000000"/>
          <w:sz w:val="32"/>
          <w:szCs w:val="32"/>
        </w:rPr>
        <w:t>5、强化乡风文明建设。</w:t>
      </w:r>
      <w:r>
        <w:rPr>
          <w:rFonts w:hint="eastAsia" w:ascii="仿宋" w:hAnsi="仿宋" w:eastAsia="仿宋" w:cs="仿宋_GB2312"/>
          <w:color w:val="000000"/>
          <w:sz w:val="32"/>
          <w:szCs w:val="32"/>
        </w:rPr>
        <w:t>修订完善《玛纳斯县村务公开目录》，14个乡镇场站101个村委会制定了村规民约，对软弱涣散的11个村进行了集中整治，申创自治区优秀平安乡镇1个。全县上半年开展村级“四议两公开”“民主日”等1300余场次，群众满意率达95%。</w:t>
      </w:r>
    </w:p>
    <w:p>
      <w:pPr>
        <w:pBdr>
          <w:top w:val="none" w:color="000000" w:sz="0" w:space="0"/>
          <w:left w:val="none" w:color="000000" w:sz="0" w:space="11"/>
          <w:bottom w:val="none" w:color="000000" w:sz="0" w:space="31"/>
          <w:right w:val="none" w:color="000000" w:sz="0" w:space="1"/>
        </w:pBdr>
        <w:tabs>
          <w:tab w:val="left" w:pos="6840"/>
        </w:tabs>
        <w:autoSpaceDN w:val="0"/>
        <w:spacing w:line="500" w:lineRule="exact"/>
        <w:ind w:firstLine="643" w:firstLineChars="200"/>
        <w:textAlignment w:val="top"/>
        <w:rPr>
          <w:rFonts w:ascii="仿宋_GB2312" w:hAnsi="仿宋_GB2312" w:eastAsia="仿宋_GB2312" w:cs="仿宋_GB2312"/>
          <w:sz w:val="32"/>
          <w:szCs w:val="32"/>
        </w:rPr>
      </w:pPr>
      <w:r>
        <w:rPr>
          <w:rFonts w:hint="eastAsia" w:ascii="仿宋" w:hAnsi="仿宋" w:eastAsia="仿宋" w:cs="宋体"/>
          <w:b/>
          <w:color w:val="000000"/>
          <w:sz w:val="32"/>
          <w:szCs w:val="32"/>
        </w:rPr>
        <w:t>6、加强乡村环境治理。</w:t>
      </w:r>
      <w:r>
        <w:rPr>
          <w:rFonts w:hint="eastAsia" w:ascii="仿宋" w:hAnsi="仿宋" w:eastAsia="仿宋" w:cs="仿宋_GB2312"/>
          <w:color w:val="000000"/>
          <w:sz w:val="32"/>
          <w:szCs w:val="32"/>
        </w:rPr>
        <w:t>开展农村环境整治专项行动，重点对“六乱”现象进行了集中整治；将农田残膜回收治理作为重点，完成回收任务65万亩；依法关停和搬迁禁养区养殖场325家，畜禽污染整治覆盖率达到90%以上。</w:t>
      </w:r>
    </w:p>
    <w:p>
      <w:pPr>
        <w:keepNext w:val="0"/>
        <w:keepLines w:val="0"/>
        <w:pageBreakBefore w:val="0"/>
        <w:widowControl w:val="0"/>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top"/>
        <w:outlineLvl w:val="9"/>
        <w:rPr>
          <w:rFonts w:hint="eastAsia" w:ascii="仿宋" w:hAnsi="仿宋" w:eastAsia="仿宋" w:cs="仿宋_GB2312"/>
          <w:color w:val="000000"/>
          <w:sz w:val="32"/>
          <w:szCs w:val="32"/>
        </w:rPr>
      </w:pPr>
      <w:r>
        <w:rPr>
          <w:rFonts w:hint="eastAsia" w:ascii="仿宋" w:hAnsi="仿宋" w:eastAsia="仿宋" w:cs="宋体"/>
          <w:b/>
          <w:color w:val="000000"/>
          <w:sz w:val="32"/>
          <w:szCs w:val="32"/>
        </w:rPr>
        <w:t>存在的问题</w:t>
      </w:r>
      <w:r>
        <w:rPr>
          <w:rFonts w:hint="eastAsia" w:ascii="仿宋" w:hAnsi="仿宋" w:eastAsia="仿宋" w:cs="宋体"/>
          <w:b/>
          <w:color w:val="000000"/>
          <w:sz w:val="32"/>
          <w:szCs w:val="32"/>
          <w:lang w:eastAsia="zh-CN"/>
        </w:rPr>
        <w:t>及建议：</w:t>
      </w:r>
      <w:r>
        <w:rPr>
          <w:rFonts w:hint="eastAsia" w:ascii="仿宋" w:hAnsi="仿宋" w:eastAsia="仿宋" w:cs="仿宋_GB2312"/>
          <w:b/>
          <w:bCs/>
          <w:color w:val="000000"/>
          <w:sz w:val="32"/>
          <w:szCs w:val="32"/>
        </w:rPr>
        <w:t>一是</w:t>
      </w:r>
      <w:r>
        <w:rPr>
          <w:rFonts w:hint="eastAsia" w:ascii="仿宋" w:hAnsi="仿宋" w:eastAsia="仿宋" w:cs="仿宋_GB2312"/>
          <w:color w:val="000000"/>
          <w:sz w:val="32"/>
          <w:szCs w:val="32"/>
        </w:rPr>
        <w:t>农牧民生态环保意识有待通过约束来进一步提高。</w:t>
      </w:r>
      <w:r>
        <w:rPr>
          <w:rFonts w:hint="eastAsia" w:ascii="仿宋" w:hAnsi="仿宋" w:eastAsia="仿宋" w:cs="仿宋_GB2312"/>
          <w:b/>
          <w:bCs/>
          <w:color w:val="000000"/>
          <w:sz w:val="32"/>
          <w:szCs w:val="32"/>
        </w:rPr>
        <w:t>建议：</w:t>
      </w:r>
      <w:r>
        <w:rPr>
          <w:rFonts w:hint="eastAsia" w:ascii="仿宋" w:hAnsi="仿宋" w:eastAsia="仿宋" w:cs="仿宋_GB2312"/>
          <w:color w:val="000000"/>
          <w:sz w:val="32"/>
          <w:szCs w:val="32"/>
        </w:rPr>
        <w:t>通过建立地方性法规，推进实现农村环境整治依法治理。</w:t>
      </w:r>
      <w:r>
        <w:rPr>
          <w:rFonts w:hint="eastAsia" w:ascii="仿宋" w:hAnsi="仿宋" w:eastAsia="仿宋" w:cs="仿宋_GB2312"/>
          <w:b/>
          <w:bCs/>
          <w:color w:val="000000"/>
          <w:sz w:val="32"/>
          <w:szCs w:val="32"/>
        </w:rPr>
        <w:t>二是</w:t>
      </w:r>
      <w:r>
        <w:rPr>
          <w:rFonts w:hint="eastAsia" w:ascii="仿宋" w:hAnsi="仿宋" w:eastAsia="仿宋" w:cs="仿宋_GB2312"/>
          <w:color w:val="000000"/>
          <w:sz w:val="32"/>
          <w:szCs w:val="32"/>
        </w:rPr>
        <w:t>农村环境整治基础设施建设需要进一步加强。</w:t>
      </w:r>
      <w:r>
        <w:rPr>
          <w:rFonts w:hint="eastAsia" w:ascii="仿宋" w:hAnsi="仿宋" w:eastAsia="仿宋" w:cs="仿宋_GB2312"/>
          <w:b/>
          <w:bCs/>
          <w:color w:val="000000"/>
          <w:sz w:val="32"/>
          <w:szCs w:val="32"/>
        </w:rPr>
        <w:t>建议：</w:t>
      </w:r>
      <w:r>
        <w:rPr>
          <w:rFonts w:hint="eastAsia" w:ascii="仿宋" w:hAnsi="仿宋" w:eastAsia="仿宋" w:cs="仿宋_GB2312"/>
          <w:color w:val="000000"/>
          <w:sz w:val="32"/>
          <w:szCs w:val="32"/>
        </w:rPr>
        <w:t>自治区通过“以奖代补”的形式，加大对农村环境整治基础设施建设政策支持和资金投入。</w:t>
      </w:r>
      <w:r>
        <w:rPr>
          <w:rFonts w:hint="eastAsia" w:ascii="仿宋" w:hAnsi="仿宋" w:eastAsia="仿宋" w:cs="仿宋_GB2312"/>
          <w:b/>
          <w:bCs/>
          <w:color w:val="000000"/>
          <w:sz w:val="32"/>
          <w:szCs w:val="32"/>
        </w:rPr>
        <w:t>三是</w:t>
      </w:r>
      <w:r>
        <w:rPr>
          <w:rFonts w:hint="eastAsia" w:ascii="仿宋" w:hAnsi="仿宋" w:eastAsia="仿宋" w:cs="仿宋_GB2312"/>
          <w:color w:val="000000"/>
          <w:sz w:val="32"/>
          <w:szCs w:val="32"/>
        </w:rPr>
        <w:t>农业面源污染需要从源头加大综合治理。</w:t>
      </w:r>
      <w:r>
        <w:rPr>
          <w:rFonts w:hint="eastAsia" w:ascii="仿宋" w:hAnsi="仿宋" w:eastAsia="仿宋" w:cs="仿宋_GB2312"/>
          <w:b/>
          <w:bCs/>
          <w:color w:val="000000"/>
          <w:sz w:val="32"/>
          <w:szCs w:val="32"/>
        </w:rPr>
        <w:t>建议：</w:t>
      </w:r>
      <w:r>
        <w:rPr>
          <w:rFonts w:hint="eastAsia" w:ascii="仿宋" w:hAnsi="仿宋" w:eastAsia="仿宋" w:cs="仿宋_GB2312"/>
          <w:color w:val="000000"/>
          <w:sz w:val="32"/>
          <w:szCs w:val="32"/>
        </w:rPr>
        <w:t>自治区层面出台地膜使用规范和标准，从源头上杜绝低价地膜、不合格地膜流入市场，同时在农业面源污染整治方面出台相关支持政策。</w:t>
      </w:r>
    </w:p>
    <w:p>
      <w:pPr>
        <w:keepNext w:val="0"/>
        <w:keepLines w:val="0"/>
        <w:pageBreakBefore w:val="0"/>
        <w:widowControl w:val="0"/>
        <w:numPr>
          <w:ilvl w:val="0"/>
          <w:numId w:val="1"/>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adjustRightInd w:val="0"/>
        <w:snapToGrid w:val="0"/>
        <w:spacing w:line="560" w:lineRule="exact"/>
        <w:ind w:left="0" w:leftChars="0" w:right="0" w:rightChars="0" w:firstLine="627" w:firstLineChars="200"/>
        <w:jc w:val="both"/>
        <w:textAlignment w:val="top"/>
        <w:outlineLvl w:val="9"/>
        <w:rPr>
          <w:rFonts w:hint="eastAsia" w:ascii="楷体" w:hAnsi="楷体" w:eastAsia="楷体"/>
          <w:b/>
          <w:spacing w:val="-4"/>
          <w:sz w:val="32"/>
          <w:szCs w:val="32"/>
        </w:rPr>
      </w:pPr>
      <w:r>
        <w:rPr>
          <w:rFonts w:hint="eastAsia" w:ascii="楷体" w:hAnsi="楷体" w:eastAsia="楷体"/>
          <w:b/>
          <w:spacing w:val="-4"/>
          <w:sz w:val="32"/>
          <w:szCs w:val="32"/>
        </w:rPr>
        <w:t>其他</w:t>
      </w:r>
    </w:p>
    <w:p>
      <w:pPr>
        <w:keepNext w:val="0"/>
        <w:keepLines w:val="0"/>
        <w:pageBreakBefore w:val="0"/>
        <w:widowControl w:val="0"/>
        <w:numPr>
          <w:numId w:val="0"/>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adjustRightInd w:val="0"/>
        <w:snapToGrid w:val="0"/>
        <w:spacing w:line="560" w:lineRule="exact"/>
        <w:ind w:leftChars="200" w:right="0" w:rightChars="0" w:firstLine="312" w:firstLineChars="100"/>
        <w:jc w:val="both"/>
        <w:textAlignment w:val="top"/>
        <w:outlineLvl w:val="9"/>
        <w:rPr>
          <w:rFonts w:ascii="仿宋" w:hAnsi="仿宋" w:eastAsia="仿宋"/>
          <w:bCs/>
          <w:spacing w:val="-4"/>
          <w:sz w:val="32"/>
          <w:szCs w:val="32"/>
        </w:rPr>
      </w:pPr>
      <w:bookmarkStart w:id="0" w:name="_GoBack"/>
      <w:bookmarkEnd w:id="0"/>
      <w:r>
        <w:rPr>
          <w:rStyle w:val="18"/>
          <w:rFonts w:hint="eastAsia" w:ascii="仿宋" w:hAnsi="仿宋" w:eastAsia="仿宋"/>
          <w:b w:val="0"/>
          <w:spacing w:val="-4"/>
          <w:sz w:val="32"/>
          <w:szCs w:val="32"/>
        </w:rPr>
        <w:t>无</w:t>
      </w:r>
    </w:p>
    <w:p>
      <w:pPr>
        <w:keepNext w:val="0"/>
        <w:keepLines w:val="0"/>
        <w:pageBreakBefore w:val="0"/>
        <w:widowControl w:val="0"/>
        <w:kinsoku/>
        <w:wordWrap/>
        <w:overflowPunct/>
        <w:topLinePunct w:val="0"/>
        <w:autoSpaceDE/>
        <w:bidi w:val="0"/>
        <w:adjustRightInd w:val="0"/>
        <w:snapToGrid w:val="0"/>
        <w:spacing w:line="560" w:lineRule="exact"/>
        <w:ind w:left="0" w:leftChars="0" w:right="0" w:rightChars="0" w:firstLine="640"/>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bidi w:val="0"/>
        <w:adjustRightInd w:val="0"/>
        <w:snapToGrid w:val="0"/>
        <w:spacing w:line="560" w:lineRule="exact"/>
        <w:ind w:left="0" w:leftChars="0" w:right="0" w:rightChars="0" w:firstLine="640" w:firstLineChars="200"/>
        <w:jc w:val="left"/>
        <w:outlineLvl w:val="9"/>
        <w:rPr>
          <w:rFonts w:ascii="仿宋" w:hAnsi="仿宋" w:eastAsia="仿宋" w:cs="仿宋_GB2312"/>
          <w:color w:val="000000"/>
          <w:sz w:val="32"/>
          <w:szCs w:val="32"/>
        </w:rPr>
      </w:pPr>
      <w:r>
        <w:rPr>
          <w:rFonts w:hint="eastAsia" w:ascii="仿宋" w:hAnsi="仿宋" w:eastAsia="仿宋" w:cs="仿宋_GB2312"/>
          <w:color w:val="000000"/>
          <w:sz w:val="32"/>
          <w:szCs w:val="32"/>
        </w:rPr>
        <w:t>在项目实施前经过充分论证，项目实施过程中严格管理，项目结束后继续跟踪项目效果，做好项目各项手续、财务管理、项目实施等工作。</w:t>
      </w:r>
    </w:p>
    <w:p>
      <w:pPr>
        <w:keepNext w:val="0"/>
        <w:keepLines w:val="0"/>
        <w:pageBreakBefore w:val="0"/>
        <w:widowControl w:val="0"/>
        <w:kinsoku/>
        <w:wordWrap/>
        <w:overflowPunct/>
        <w:topLinePunct w:val="0"/>
        <w:autoSpaceDE/>
        <w:bidi w:val="0"/>
        <w:adjustRightInd w:val="0"/>
        <w:snapToGrid w:val="0"/>
        <w:spacing w:line="560" w:lineRule="exact"/>
        <w:ind w:left="0" w:leftChars="0" w:right="0" w:rightChars="0" w:firstLine="640" w:firstLineChars="200"/>
        <w:outlineLvl w:val="9"/>
        <w:rPr>
          <w:rFonts w:ascii="仿宋" w:hAnsi="仿宋" w:eastAsia="仿宋" w:cs="仿宋_GB2312"/>
          <w:color w:val="000000"/>
          <w:sz w:val="32"/>
          <w:szCs w:val="32"/>
        </w:rPr>
      </w:pPr>
      <w:r>
        <w:rPr>
          <w:rFonts w:hint="eastAsia" w:ascii="仿宋" w:hAnsi="仿宋" w:eastAsia="仿宋" w:cs="仿宋_GB2312"/>
          <w:color w:val="000000"/>
          <w:sz w:val="32"/>
          <w:szCs w:val="32"/>
        </w:rPr>
        <w:t>评价基础数据来源于日常工作记录、资料来源和依据来源于参与单位提供。</w:t>
      </w:r>
    </w:p>
    <w:p>
      <w:pPr>
        <w:keepNext w:val="0"/>
        <w:keepLines w:val="0"/>
        <w:pageBreakBefore w:val="0"/>
        <w:widowControl w:val="0"/>
        <w:kinsoku/>
        <w:wordWrap/>
        <w:overflowPunct/>
        <w:topLinePunct w:val="0"/>
        <w:autoSpaceDE/>
        <w:bidi w:val="0"/>
        <w:adjustRightInd/>
        <w:snapToGrid/>
        <w:spacing w:line="560" w:lineRule="exact"/>
        <w:ind w:left="0" w:leftChars="0" w:right="0" w:rightChars="0" w:firstLine="640"/>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Fonts w:ascii="仿宋" w:hAnsi="仿宋" w:eastAsia="仿宋" w:cs="仿宋_GB2312"/>
          <w:color w:val="000000"/>
          <w:sz w:val="32"/>
          <w:szCs w:val="32"/>
        </w:rPr>
      </w:pPr>
      <w:r>
        <w:rPr>
          <w:rFonts w:hint="eastAsia" w:ascii="仿宋" w:hAnsi="仿宋" w:eastAsia="仿宋" w:cs="仿宋_GB2312"/>
          <w:color w:val="000000"/>
          <w:sz w:val="32"/>
          <w:szCs w:val="32"/>
        </w:rPr>
        <w:t>《玛纳斯县财政项目支出绩效自评表》</w:t>
      </w:r>
    </w:p>
    <w:p>
      <w:pPr>
        <w:spacing w:line="540" w:lineRule="exact"/>
        <w:rPr>
          <w:rFonts w:cs="仿宋_GB2312"/>
          <w:bCs/>
          <w:color w:val="000000"/>
        </w:rPr>
        <w:sectPr>
          <w:footerReference r:id="rId3" w:type="default"/>
          <w:pgSz w:w="11906" w:h="16838"/>
          <w:pgMar w:top="1440" w:right="1558" w:bottom="1440" w:left="1800" w:header="851" w:footer="992" w:gutter="0"/>
          <w:cols w:space="425" w:num="1"/>
          <w:docGrid w:type="lines" w:linePitch="312" w:charSpace="0"/>
        </w:sectPr>
      </w:pPr>
    </w:p>
    <w:p>
      <w:pPr>
        <w:pStyle w:val="2"/>
      </w:pPr>
    </w:p>
    <w:tbl>
      <w:tblPr>
        <w:tblStyle w:val="20"/>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p>
          <w:p>
            <w:pPr>
              <w:widowControl/>
              <w:jc w:val="center"/>
              <w:rPr>
                <w:rFonts w:asci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 xml:space="preserve">  201</w:t>
            </w:r>
            <w:r>
              <w:rPr>
                <w:rFonts w:hint="eastAsia" w:ascii="宋体" w:hAnsi="宋体" w:cs="宋体"/>
                <w:kern w:val="0"/>
                <w:sz w:val="24"/>
              </w:rPr>
              <w:t>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乡村振兴战略实施示范村</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玛纳斯县农业局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ascii="宋体" w:hAnsi="宋体" w:cs="宋体"/>
                <w:kern w:val="0"/>
                <w:sz w:val="20"/>
                <w:szCs w:val="20"/>
              </w:rPr>
              <w:br w:type="textWrapping"/>
            </w:r>
            <w:r>
              <w:rPr>
                <w:rFonts w:hint="eastAsia" w:ascii="宋体" w:hAnsi="宋体" w:cs="宋体"/>
                <w:kern w:val="0"/>
                <w:sz w:val="20"/>
                <w:szCs w:val="20"/>
              </w:rPr>
              <w:t>执行</w:t>
            </w:r>
            <w:r>
              <w:rPr>
                <w:rFonts w:ascii="宋体" w:hAnsi="宋体" w:cs="宋体"/>
                <w:kern w:val="0"/>
                <w:sz w:val="20"/>
                <w:szCs w:val="20"/>
              </w:rPr>
              <w:br w:type="textWrapping"/>
            </w:r>
            <w:r>
              <w:rPr>
                <w:rFonts w:hint="eastAsia" w:ascii="宋体" w:hAnsi="宋体" w:cs="宋体"/>
                <w:kern w:val="0"/>
                <w:sz w:val="20"/>
                <w:szCs w:val="20"/>
              </w:rPr>
              <w:t>情况</w:t>
            </w:r>
            <w:r>
              <w:rPr>
                <w:rFonts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150万元</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150万元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150万元</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150万元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ascii="宋体" w:hAnsi="宋体" w:cs="宋体"/>
                <w:kern w:val="0"/>
                <w:sz w:val="20"/>
                <w:szCs w:val="20"/>
              </w:rPr>
              <w:br w:type="textWrapping"/>
            </w:r>
            <w:r>
              <w:rPr>
                <w:rFonts w:hint="eastAsia" w:ascii="宋体" w:hAnsi="宋体" w:cs="宋体"/>
                <w:kern w:val="0"/>
                <w:sz w:val="20"/>
                <w:szCs w:val="20"/>
              </w:rPr>
              <w:t>目标</w:t>
            </w:r>
            <w:r>
              <w:rPr>
                <w:rFonts w:ascii="宋体" w:hAnsi="宋体" w:cs="宋体"/>
                <w:kern w:val="0"/>
                <w:sz w:val="20"/>
                <w:szCs w:val="20"/>
              </w:rPr>
              <w:br w:type="textWrapping"/>
            </w:r>
            <w:r>
              <w:rPr>
                <w:rFonts w:hint="eastAsia" w:ascii="宋体" w:hAnsi="宋体" w:cs="宋体"/>
                <w:kern w:val="0"/>
                <w:sz w:val="20"/>
                <w:szCs w:val="20"/>
              </w:rPr>
              <w:t>完成</w:t>
            </w:r>
            <w:r>
              <w:rPr>
                <w:rFonts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center"/>
              <w:rPr>
                <w:rFonts w:ascii="宋体" w:hAnsi="宋体" w:cs="宋体"/>
                <w:kern w:val="0"/>
                <w:sz w:val="20"/>
                <w:szCs w:val="20"/>
              </w:rPr>
            </w:pPr>
            <w:r>
              <w:rPr>
                <w:rFonts w:hint="eastAsia" w:ascii="宋体" w:hAnsi="宋体" w:cs="宋体"/>
                <w:kern w:val="0"/>
                <w:sz w:val="20"/>
                <w:szCs w:val="20"/>
              </w:rPr>
              <w:t>围绕农业产业兴旺发展要求，按照差异化发展思路，对广东地乡小海子村、兰州湾镇下八家户村、清水河乡贝母房子村三个州级示范村建设中农业质量提升、休闲农业建设、合作社发展壮大、特色农业发展等项目建设成果</w:t>
            </w:r>
          </w:p>
        </w:tc>
        <w:tc>
          <w:tcPr>
            <w:tcW w:w="3840" w:type="dxa"/>
            <w:gridSpan w:val="2"/>
            <w:tcBorders>
              <w:top w:val="single" w:color="auto" w:sz="4" w:space="0"/>
              <w:left w:val="nil"/>
              <w:bottom w:val="single" w:color="auto" w:sz="4" w:space="0"/>
              <w:right w:val="single" w:color="000000" w:sz="4" w:space="0"/>
            </w:tcBorders>
          </w:tcPr>
          <w:p>
            <w:pPr>
              <w:widowControl/>
              <w:jc w:val="center"/>
              <w:rPr>
                <w:rFonts w:ascii="宋体" w:hAnsi="宋体" w:cs="宋体"/>
                <w:kern w:val="0"/>
                <w:sz w:val="20"/>
                <w:szCs w:val="20"/>
              </w:rPr>
            </w:pPr>
            <w:r>
              <w:rPr>
                <w:rFonts w:hint="eastAsia" w:ascii="宋体" w:hAnsi="宋体" w:cs="宋体"/>
                <w:kern w:val="0"/>
                <w:sz w:val="20"/>
                <w:szCs w:val="20"/>
              </w:rPr>
              <w:t>围绕农业产业兴旺发展要求，按照差异化发展思路，对广东地乡小海子村、兰州湾镇下八家户村、清水河乡贝母房子村三个州级示范村建设中农业质量提升、休闲农业建设、合作社发展壮大、特色农业发展等项目建设成果</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ascii="宋体" w:hAnsi="宋体" w:cs="宋体"/>
                <w:kern w:val="0"/>
                <w:sz w:val="20"/>
                <w:szCs w:val="20"/>
              </w:rPr>
              <w:br w:type="textWrapping"/>
            </w:r>
            <w:r>
              <w:rPr>
                <w:rFonts w:hint="eastAsia" w:ascii="宋体" w:hAnsi="宋体" w:cs="宋体"/>
                <w:kern w:val="0"/>
                <w:sz w:val="20"/>
                <w:szCs w:val="20"/>
              </w:rPr>
              <w:t>绩效</w:t>
            </w:r>
            <w:r>
              <w:rPr>
                <w:rFonts w:ascii="宋体" w:hAnsi="宋体" w:cs="宋体"/>
                <w:kern w:val="0"/>
                <w:sz w:val="20"/>
                <w:szCs w:val="20"/>
              </w:rPr>
              <w:br w:type="textWrapping"/>
            </w:r>
            <w:r>
              <w:rPr>
                <w:rFonts w:hint="eastAsia" w:ascii="宋体" w:hAnsi="宋体" w:cs="宋体"/>
                <w:kern w:val="0"/>
                <w:sz w:val="20"/>
                <w:szCs w:val="20"/>
              </w:rPr>
              <w:t>指标</w:t>
            </w:r>
            <w:r>
              <w:rPr>
                <w:rFonts w:ascii="宋体" w:hAnsi="宋体" w:cs="宋体"/>
                <w:kern w:val="0"/>
                <w:sz w:val="20"/>
                <w:szCs w:val="20"/>
              </w:rPr>
              <w:br w:type="textWrapping"/>
            </w:r>
            <w:r>
              <w:rPr>
                <w:rFonts w:hint="eastAsia" w:ascii="宋体" w:hAnsi="宋体" w:cs="宋体"/>
                <w:kern w:val="0"/>
                <w:sz w:val="20"/>
                <w:szCs w:val="20"/>
              </w:rPr>
              <w:t>完成</w:t>
            </w:r>
            <w:r>
              <w:rPr>
                <w:rFonts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：州级示范村</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3个</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指标2：农产品电商销售中心</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2个</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指标3：三品一标认证</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1个</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指标4：特色农家餐饮发展提升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≥3户</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：验收合格率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：项目资金执行率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r>
              <w:rPr>
                <w:rFonts w:ascii="宋体" w:hAnsi="宋体" w:cs="宋体"/>
                <w:kern w:val="0"/>
                <w:sz w:val="20"/>
                <w:szCs w:val="20"/>
              </w:rPr>
              <w:t>95%</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95%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：示范村以奖代补</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50万/村</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50万/村</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：电商销售提高参与农民收入</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人均</w:t>
            </w:r>
            <w:r>
              <w:rPr>
                <w:rFonts w:ascii="宋体" w:hAnsi="宋体" w:cs="宋体"/>
                <w:kern w:val="0"/>
                <w:sz w:val="20"/>
                <w:szCs w:val="20"/>
              </w:rPr>
              <w:t>100</w:t>
            </w:r>
            <w:r>
              <w:rPr>
                <w:rFonts w:hint="eastAsia" w:ascii="宋体" w:hAnsi="宋体" w:cs="宋体"/>
                <w:kern w:val="0"/>
                <w:sz w:val="20"/>
                <w:szCs w:val="20"/>
              </w:rPr>
              <w:t>元</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人均</w:t>
            </w:r>
            <w:r>
              <w:rPr>
                <w:rFonts w:ascii="宋体" w:hAnsi="宋体" w:cs="宋体"/>
                <w:kern w:val="0"/>
                <w:sz w:val="20"/>
                <w:szCs w:val="20"/>
              </w:rPr>
              <w:t>100</w:t>
            </w:r>
            <w:r>
              <w:rPr>
                <w:rFonts w:hint="eastAsia" w:ascii="宋体" w:hAnsi="宋体" w:cs="宋体"/>
                <w:kern w:val="0"/>
                <w:sz w:val="20"/>
                <w:szCs w:val="20"/>
              </w:rPr>
              <w:t>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指标1：有机牧场认证</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≥3万亩</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：休闲农业发展水平</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显著提升</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显著提升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示范村群众抽样满意度（%）</w:t>
            </w:r>
          </w:p>
        </w:tc>
        <w:tc>
          <w:tcPr>
            <w:tcW w:w="206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≥85</w:t>
            </w:r>
            <w:r>
              <w:rPr>
                <w:rFonts w:ascii="宋体" w:hAnsi="宋体" w:cs="宋体"/>
                <w:kern w:val="0"/>
                <w:sz w:val="20"/>
                <w:szCs w:val="20"/>
              </w:rPr>
              <w:t>%</w:t>
            </w:r>
          </w:p>
        </w:tc>
        <w:tc>
          <w:tcPr>
            <w:tcW w:w="17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85</w:t>
            </w:r>
            <w:r>
              <w:rPr>
                <w:rFonts w:ascii="宋体" w:hAnsi="宋体" w:cs="宋体"/>
                <w:kern w:val="0"/>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农业科技示范主体抽样满意度（</w:t>
            </w:r>
            <w:r>
              <w:rPr>
                <w:rFonts w:ascii="宋体" w:hAnsi="宋体" w:cs="宋体"/>
                <w:kern w:val="0"/>
                <w:sz w:val="20"/>
                <w:szCs w:val="20"/>
              </w:rPr>
              <w:t>%</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≥95</w:t>
            </w:r>
            <w:r>
              <w:rPr>
                <w:rFonts w:ascii="宋体" w:hAnsi="宋体" w:cs="宋体"/>
                <w:kern w:val="0"/>
                <w:sz w:val="20"/>
                <w:szCs w:val="20"/>
              </w:rPr>
              <w:t>%</w:t>
            </w:r>
          </w:p>
        </w:tc>
        <w:tc>
          <w:tcPr>
            <w:tcW w:w="17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95</w:t>
            </w:r>
            <w:r>
              <w:rPr>
                <w:rFonts w:ascii="宋体" w:hAnsi="宋体" w:cs="宋体"/>
                <w:kern w:val="0"/>
                <w:sz w:val="20"/>
                <w:szCs w:val="20"/>
              </w:rPr>
              <w:t>%</w:t>
            </w:r>
          </w:p>
        </w:tc>
      </w:tr>
    </w:tbl>
    <w:p>
      <w:pPr>
        <w:spacing w:line="540" w:lineRule="exact"/>
        <w:rPr>
          <w:rStyle w:val="18"/>
          <w:rFonts w:ascii="仿宋" w:hAnsi="仿宋" w:eastAsia="仿宋"/>
          <w:b w:val="0"/>
          <w:spacing w:val="-4"/>
          <w:sz w:val="32"/>
          <w:szCs w:val="32"/>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45D91"/>
    <w:multiLevelType w:val="singleLevel"/>
    <w:tmpl w:val="09C45D9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D06ED"/>
    <w:rsid w:val="00121AE4"/>
    <w:rsid w:val="00146AAD"/>
    <w:rsid w:val="001B3A40"/>
    <w:rsid w:val="001B570C"/>
    <w:rsid w:val="00321B1D"/>
    <w:rsid w:val="003362C6"/>
    <w:rsid w:val="003C18BC"/>
    <w:rsid w:val="004366A8"/>
    <w:rsid w:val="00464900"/>
    <w:rsid w:val="004E5095"/>
    <w:rsid w:val="00502BA7"/>
    <w:rsid w:val="005162F1"/>
    <w:rsid w:val="00535153"/>
    <w:rsid w:val="00542434"/>
    <w:rsid w:val="00554F82"/>
    <w:rsid w:val="0056390D"/>
    <w:rsid w:val="005719B0"/>
    <w:rsid w:val="005D10D6"/>
    <w:rsid w:val="00767191"/>
    <w:rsid w:val="00770A0D"/>
    <w:rsid w:val="007806A5"/>
    <w:rsid w:val="007D1D4C"/>
    <w:rsid w:val="00855E3A"/>
    <w:rsid w:val="00862279"/>
    <w:rsid w:val="00922CB9"/>
    <w:rsid w:val="009E3C15"/>
    <w:rsid w:val="009E5CD9"/>
    <w:rsid w:val="009E722F"/>
    <w:rsid w:val="00A26421"/>
    <w:rsid w:val="00A337BA"/>
    <w:rsid w:val="00A4293B"/>
    <w:rsid w:val="00A60EA5"/>
    <w:rsid w:val="00A67D50"/>
    <w:rsid w:val="00A8691A"/>
    <w:rsid w:val="00AC1946"/>
    <w:rsid w:val="00B40063"/>
    <w:rsid w:val="00B41F61"/>
    <w:rsid w:val="00BA46E6"/>
    <w:rsid w:val="00C27B5C"/>
    <w:rsid w:val="00C56C72"/>
    <w:rsid w:val="00C65E86"/>
    <w:rsid w:val="00CA6457"/>
    <w:rsid w:val="00D17F2E"/>
    <w:rsid w:val="00D30354"/>
    <w:rsid w:val="00D53FE4"/>
    <w:rsid w:val="00DF07B9"/>
    <w:rsid w:val="00DF42A0"/>
    <w:rsid w:val="00E46C51"/>
    <w:rsid w:val="00E769FE"/>
    <w:rsid w:val="00E8015F"/>
    <w:rsid w:val="00EA2CBE"/>
    <w:rsid w:val="00EE6A4A"/>
    <w:rsid w:val="00F32FEE"/>
    <w:rsid w:val="00FB10BB"/>
    <w:rsid w:val="05EF16CC"/>
    <w:rsid w:val="077D6FD8"/>
    <w:rsid w:val="0D3A37BE"/>
    <w:rsid w:val="0F7B0ED1"/>
    <w:rsid w:val="16D4226B"/>
    <w:rsid w:val="20E57131"/>
    <w:rsid w:val="26D5337A"/>
    <w:rsid w:val="2B2C6011"/>
    <w:rsid w:val="2C150C2F"/>
    <w:rsid w:val="2EA26EDE"/>
    <w:rsid w:val="323A7406"/>
    <w:rsid w:val="39C23EDA"/>
    <w:rsid w:val="3C71071F"/>
    <w:rsid w:val="3F8E123D"/>
    <w:rsid w:val="47DD7020"/>
    <w:rsid w:val="480457EC"/>
    <w:rsid w:val="485E0ECE"/>
    <w:rsid w:val="4F8F411F"/>
    <w:rsid w:val="553C40C4"/>
    <w:rsid w:val="58885998"/>
    <w:rsid w:val="5A212FDE"/>
    <w:rsid w:val="5E1E3EF2"/>
    <w:rsid w:val="5F9A7B0A"/>
    <w:rsid w:val="61D73789"/>
    <w:rsid w:val="63C42FF6"/>
    <w:rsid w:val="67A869E8"/>
    <w:rsid w:val="6865333D"/>
    <w:rsid w:val="6A710A6C"/>
    <w:rsid w:val="6F183078"/>
    <w:rsid w:val="7A913DE1"/>
    <w:rsid w:val="7FFD07BC"/>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nhideWhenUsed="0" w:uiPriority="0"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5">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6">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7">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8">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9">
    <w:name w:val="heading 7"/>
    <w:basedOn w:val="1"/>
    <w:next w:val="1"/>
    <w:link w:val="27"/>
    <w:qFormat/>
    <w:uiPriority w:val="99"/>
    <w:pPr>
      <w:widowControl/>
      <w:spacing w:before="240" w:after="60"/>
      <w:jc w:val="left"/>
      <w:outlineLvl w:val="6"/>
    </w:pPr>
    <w:rPr>
      <w:rFonts w:ascii="Calibri" w:hAnsi="Calibri"/>
      <w:kern w:val="0"/>
      <w:sz w:val="24"/>
    </w:rPr>
  </w:style>
  <w:style w:type="paragraph" w:styleId="10">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1">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locked/>
    <w:uiPriority w:val="0"/>
    <w:pPr>
      <w:spacing w:after="120"/>
    </w:pPr>
  </w:style>
  <w:style w:type="paragraph" w:styleId="12">
    <w:name w:val="Balloon Text"/>
    <w:basedOn w:val="1"/>
    <w:link w:val="30"/>
    <w:semiHidden/>
    <w:qFormat/>
    <w:uiPriority w:val="99"/>
    <w:rPr>
      <w:sz w:val="18"/>
      <w:szCs w:val="18"/>
    </w:rPr>
  </w:style>
  <w:style w:type="paragraph" w:styleId="13">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3"/>
    <w:qFormat/>
    <w:uiPriority w:val="99"/>
    <w:pPr>
      <w:widowControl/>
      <w:spacing w:after="60"/>
      <w:jc w:val="center"/>
      <w:outlineLvl w:val="1"/>
    </w:pPr>
    <w:rPr>
      <w:rFonts w:ascii="Cambria" w:hAnsi="Cambria"/>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0"/>
    <w:rPr>
      <w:rFonts w:cs="Times New Roman"/>
      <w:b/>
      <w:bCs/>
    </w:rPr>
  </w:style>
  <w:style w:type="character" w:styleId="19">
    <w:name w:val="Emphasis"/>
    <w:basedOn w:val="17"/>
    <w:qFormat/>
    <w:uiPriority w:val="99"/>
    <w:rPr>
      <w:rFonts w:ascii="Calibri" w:hAnsi="Calibri" w:cs="Times New Roman"/>
      <w:b/>
      <w:i/>
      <w:iCs/>
    </w:rPr>
  </w:style>
  <w:style w:type="character" w:customStyle="1" w:styleId="21">
    <w:name w:val="标题 1 Char"/>
    <w:basedOn w:val="17"/>
    <w:link w:val="3"/>
    <w:qFormat/>
    <w:locked/>
    <w:uiPriority w:val="99"/>
    <w:rPr>
      <w:rFonts w:ascii="Cambria" w:hAnsi="Cambria" w:eastAsia="宋体" w:cs="Times New Roman"/>
      <w:b/>
      <w:bCs/>
      <w:kern w:val="32"/>
      <w:sz w:val="32"/>
      <w:szCs w:val="32"/>
    </w:rPr>
  </w:style>
  <w:style w:type="character" w:customStyle="1" w:styleId="22">
    <w:name w:val="标题 2 Char"/>
    <w:basedOn w:val="17"/>
    <w:link w:val="4"/>
    <w:semiHidden/>
    <w:qFormat/>
    <w:locked/>
    <w:uiPriority w:val="99"/>
    <w:rPr>
      <w:rFonts w:ascii="Cambria" w:hAnsi="Cambria" w:eastAsia="宋体" w:cs="Times New Roman"/>
      <w:b/>
      <w:bCs/>
      <w:i/>
      <w:iCs/>
      <w:sz w:val="28"/>
      <w:szCs w:val="28"/>
    </w:rPr>
  </w:style>
  <w:style w:type="character" w:customStyle="1" w:styleId="23">
    <w:name w:val="标题 3 Char"/>
    <w:basedOn w:val="17"/>
    <w:link w:val="5"/>
    <w:semiHidden/>
    <w:qFormat/>
    <w:locked/>
    <w:uiPriority w:val="99"/>
    <w:rPr>
      <w:rFonts w:ascii="Cambria" w:hAnsi="Cambria" w:eastAsia="宋体" w:cs="Times New Roman"/>
      <w:b/>
      <w:bCs/>
      <w:sz w:val="26"/>
      <w:szCs w:val="26"/>
    </w:rPr>
  </w:style>
  <w:style w:type="character" w:customStyle="1" w:styleId="24">
    <w:name w:val="标题 4 Char"/>
    <w:basedOn w:val="17"/>
    <w:link w:val="6"/>
    <w:semiHidden/>
    <w:qFormat/>
    <w:locked/>
    <w:uiPriority w:val="99"/>
    <w:rPr>
      <w:rFonts w:cs="Times New Roman"/>
      <w:b/>
      <w:bCs/>
      <w:sz w:val="28"/>
      <w:szCs w:val="28"/>
    </w:rPr>
  </w:style>
  <w:style w:type="character" w:customStyle="1" w:styleId="25">
    <w:name w:val="标题 5 Char"/>
    <w:basedOn w:val="17"/>
    <w:link w:val="7"/>
    <w:semiHidden/>
    <w:qFormat/>
    <w:locked/>
    <w:uiPriority w:val="99"/>
    <w:rPr>
      <w:rFonts w:cs="Times New Roman"/>
      <w:b/>
      <w:bCs/>
      <w:i/>
      <w:iCs/>
      <w:sz w:val="26"/>
      <w:szCs w:val="26"/>
    </w:rPr>
  </w:style>
  <w:style w:type="character" w:customStyle="1" w:styleId="26">
    <w:name w:val="标题 6 Char"/>
    <w:basedOn w:val="17"/>
    <w:link w:val="8"/>
    <w:semiHidden/>
    <w:qFormat/>
    <w:locked/>
    <w:uiPriority w:val="99"/>
    <w:rPr>
      <w:rFonts w:cs="Times New Roman"/>
      <w:b/>
      <w:bCs/>
    </w:rPr>
  </w:style>
  <w:style w:type="character" w:customStyle="1" w:styleId="27">
    <w:name w:val="标题 7 Char"/>
    <w:basedOn w:val="17"/>
    <w:link w:val="9"/>
    <w:semiHidden/>
    <w:qFormat/>
    <w:locked/>
    <w:uiPriority w:val="99"/>
    <w:rPr>
      <w:rFonts w:cs="Times New Roman"/>
      <w:sz w:val="24"/>
      <w:szCs w:val="24"/>
    </w:rPr>
  </w:style>
  <w:style w:type="character" w:customStyle="1" w:styleId="28">
    <w:name w:val="标题 8 Char"/>
    <w:basedOn w:val="17"/>
    <w:link w:val="10"/>
    <w:semiHidden/>
    <w:qFormat/>
    <w:locked/>
    <w:uiPriority w:val="99"/>
    <w:rPr>
      <w:rFonts w:cs="Times New Roman"/>
      <w:i/>
      <w:iCs/>
      <w:sz w:val="24"/>
      <w:szCs w:val="24"/>
    </w:rPr>
  </w:style>
  <w:style w:type="character" w:customStyle="1" w:styleId="29">
    <w:name w:val="标题 9 Char"/>
    <w:basedOn w:val="17"/>
    <w:link w:val="11"/>
    <w:semiHidden/>
    <w:qFormat/>
    <w:locked/>
    <w:uiPriority w:val="99"/>
    <w:rPr>
      <w:rFonts w:ascii="Cambria" w:hAnsi="Cambria" w:eastAsia="宋体" w:cs="Times New Roman"/>
    </w:rPr>
  </w:style>
  <w:style w:type="character" w:customStyle="1" w:styleId="30">
    <w:name w:val="批注框文本 Char"/>
    <w:basedOn w:val="17"/>
    <w:link w:val="12"/>
    <w:semiHidden/>
    <w:qFormat/>
    <w:locked/>
    <w:uiPriority w:val="99"/>
    <w:rPr>
      <w:rFonts w:ascii="Times New Roman" w:hAnsi="Times New Roman" w:eastAsia="宋体" w:cs="Times New Roman"/>
      <w:kern w:val="2"/>
      <w:sz w:val="18"/>
      <w:szCs w:val="18"/>
    </w:rPr>
  </w:style>
  <w:style w:type="character" w:customStyle="1" w:styleId="31">
    <w:name w:val="页脚 Char"/>
    <w:basedOn w:val="17"/>
    <w:link w:val="13"/>
    <w:qFormat/>
    <w:locked/>
    <w:uiPriority w:val="99"/>
    <w:rPr>
      <w:rFonts w:ascii="Calibri" w:hAnsi="Calibri" w:eastAsia="宋体" w:cs="Times New Roman"/>
      <w:kern w:val="2"/>
      <w:sz w:val="18"/>
      <w:szCs w:val="18"/>
    </w:rPr>
  </w:style>
  <w:style w:type="character" w:customStyle="1" w:styleId="32">
    <w:name w:val="页眉 Char"/>
    <w:basedOn w:val="17"/>
    <w:link w:val="14"/>
    <w:qFormat/>
    <w:locked/>
    <w:uiPriority w:val="99"/>
    <w:rPr>
      <w:rFonts w:ascii="Calibri" w:hAnsi="Calibri" w:eastAsia="宋体" w:cs="Times New Roman"/>
      <w:kern w:val="2"/>
      <w:sz w:val="18"/>
      <w:szCs w:val="18"/>
    </w:rPr>
  </w:style>
  <w:style w:type="character" w:customStyle="1" w:styleId="33">
    <w:name w:val="副标题 Char"/>
    <w:basedOn w:val="17"/>
    <w:link w:val="15"/>
    <w:qFormat/>
    <w:locked/>
    <w:uiPriority w:val="99"/>
    <w:rPr>
      <w:rFonts w:ascii="Cambria" w:hAnsi="Cambria" w:eastAsia="宋体" w:cs="Times New Roman"/>
      <w:sz w:val="24"/>
      <w:szCs w:val="24"/>
    </w:rPr>
  </w:style>
  <w:style w:type="character" w:customStyle="1" w:styleId="34">
    <w:name w:val="标题 Char"/>
    <w:basedOn w:val="17"/>
    <w:link w:val="16"/>
    <w:qFormat/>
    <w:locked/>
    <w:uiPriority w:val="99"/>
    <w:rPr>
      <w:rFonts w:ascii="Cambria" w:hAnsi="Cambria" w:eastAsia="宋体" w:cs="Times New Roman"/>
      <w:b/>
      <w:bCs/>
      <w:kern w:val="28"/>
      <w:sz w:val="32"/>
      <w:szCs w:val="32"/>
    </w:rPr>
  </w:style>
  <w:style w:type="paragraph" w:customStyle="1" w:styleId="35">
    <w:name w:val="无间隔1"/>
    <w:basedOn w:val="1"/>
    <w:qFormat/>
    <w:uiPriority w:val="99"/>
    <w:pPr>
      <w:widowControl/>
      <w:jc w:val="left"/>
    </w:pPr>
    <w:rPr>
      <w:rFonts w:ascii="Calibri" w:hAnsi="Calibri"/>
      <w:kern w:val="0"/>
      <w:sz w:val="24"/>
      <w:szCs w:val="32"/>
      <w:lang w:eastAsia="en-US"/>
    </w:rPr>
  </w:style>
  <w:style w:type="paragraph" w:customStyle="1" w:styleId="36">
    <w:name w:val="列出段落1"/>
    <w:basedOn w:val="1"/>
    <w:qFormat/>
    <w:uiPriority w:val="99"/>
    <w:pPr>
      <w:widowControl/>
      <w:ind w:left="720"/>
      <w:contextualSpacing/>
      <w:jc w:val="left"/>
    </w:pPr>
    <w:rPr>
      <w:rFonts w:ascii="Calibri" w:hAnsi="Calibri"/>
      <w:kern w:val="0"/>
      <w:sz w:val="24"/>
      <w:lang w:eastAsia="en-US"/>
    </w:rPr>
  </w:style>
  <w:style w:type="paragraph" w:customStyle="1" w:styleId="37">
    <w:name w:val="引用1"/>
    <w:basedOn w:val="1"/>
    <w:next w:val="1"/>
    <w:link w:val="38"/>
    <w:qFormat/>
    <w:uiPriority w:val="99"/>
    <w:pPr>
      <w:widowControl/>
      <w:jc w:val="left"/>
    </w:pPr>
    <w:rPr>
      <w:rFonts w:ascii="Calibri" w:hAnsi="Calibri"/>
      <w:i/>
      <w:kern w:val="0"/>
      <w:sz w:val="24"/>
    </w:rPr>
  </w:style>
  <w:style w:type="character" w:customStyle="1" w:styleId="38">
    <w:name w:val="Quote Char"/>
    <w:basedOn w:val="17"/>
    <w:link w:val="37"/>
    <w:qFormat/>
    <w:locked/>
    <w:uiPriority w:val="99"/>
    <w:rPr>
      <w:rFonts w:cs="Times New Roman"/>
      <w:i/>
      <w:sz w:val="24"/>
      <w:szCs w:val="24"/>
    </w:rPr>
  </w:style>
  <w:style w:type="paragraph" w:customStyle="1" w:styleId="39">
    <w:name w:val="明显引用1"/>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7"/>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basedOn w:val="17"/>
    <w:qFormat/>
    <w:uiPriority w:val="99"/>
    <w:rPr>
      <w:rFonts w:cs="Times New Roman"/>
      <w:b/>
      <w:i/>
      <w:sz w:val="24"/>
      <w:szCs w:val="24"/>
      <w:u w:val="single"/>
    </w:rPr>
  </w:style>
  <w:style w:type="character" w:customStyle="1" w:styleId="43">
    <w:name w:val="不明显参考1"/>
    <w:basedOn w:val="17"/>
    <w:qFormat/>
    <w:uiPriority w:val="99"/>
    <w:rPr>
      <w:rFonts w:cs="Times New Roman"/>
      <w:sz w:val="24"/>
      <w:szCs w:val="24"/>
      <w:u w:val="single"/>
    </w:rPr>
  </w:style>
  <w:style w:type="character" w:customStyle="1" w:styleId="44">
    <w:name w:val="明显参考1"/>
    <w:basedOn w:val="17"/>
    <w:qFormat/>
    <w:uiPriority w:val="99"/>
    <w:rPr>
      <w:rFonts w:cs="Times New Roman"/>
      <w:b/>
      <w:sz w:val="24"/>
      <w:u w:val="single"/>
    </w:rPr>
  </w:style>
  <w:style w:type="character" w:customStyle="1" w:styleId="45">
    <w:name w:val="书籍标题1"/>
    <w:basedOn w:val="17"/>
    <w:qFormat/>
    <w:uiPriority w:val="99"/>
    <w:rPr>
      <w:rFonts w:ascii="Cambria" w:hAnsi="Cambria" w:eastAsia="宋体" w:cs="Times New Roman"/>
      <w:b/>
      <w:i/>
      <w:sz w:val="24"/>
      <w:szCs w:val="24"/>
    </w:rPr>
  </w:style>
  <w:style w:type="paragraph" w:customStyle="1" w:styleId="46">
    <w:name w:val="TOC 标题1"/>
    <w:basedOn w:val="3"/>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605</Words>
  <Characters>3450</Characters>
  <Lines>28</Lines>
  <Paragraphs>8</Paragraphs>
  <TotalTime>0</TotalTime>
  <ScaleCrop>false</ScaleCrop>
  <LinksUpToDate>false</LinksUpToDate>
  <CharactersWithSpaces>4047</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2019-10-26T13:58:42Z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