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项目名称：防汛大楼改造项目</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实施单位（公章）：玛纳斯县</w:t>
      </w:r>
      <w:r>
        <w:rPr>
          <w:rFonts w:hint="eastAsia" w:hAnsi="宋体" w:eastAsia="仿宋_GB2312" w:cs="宋体"/>
          <w:kern w:val="0"/>
          <w:sz w:val="36"/>
          <w:szCs w:val="36"/>
          <w:lang w:eastAsia="zh-CN"/>
        </w:rPr>
        <w:t>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主管部门（公章）：玛纳斯县水利局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韩斌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 年1 月</w:t>
      </w:r>
      <w:r>
        <w:rPr>
          <w:rFonts w:hint="eastAsia" w:hAnsi="宋体" w:eastAsia="仿宋_GB2312" w:cs="宋体"/>
          <w:kern w:val="0"/>
          <w:sz w:val="36"/>
          <w:szCs w:val="36"/>
          <w:lang w:val="en-US" w:eastAsia="zh-CN"/>
        </w:rPr>
        <w:t>31</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4" w:firstLineChars="181"/>
        <w:rPr>
          <w:rStyle w:val="17"/>
          <w:rFonts w:ascii="仿宋" w:hAnsi="仿宋" w:eastAsia="仿宋"/>
          <w:b w:val="0"/>
          <w:spacing w:val="-4"/>
          <w:sz w:val="32"/>
          <w:szCs w:val="32"/>
        </w:rPr>
      </w:pPr>
      <w:r>
        <w:rPr>
          <w:rStyle w:val="17"/>
          <w:rFonts w:hint="eastAsia" w:ascii="仿宋" w:hAnsi="仿宋" w:eastAsia="仿宋"/>
          <w:b w:val="0"/>
          <w:spacing w:val="-4"/>
          <w:sz w:val="32"/>
          <w:szCs w:val="32"/>
        </w:rPr>
        <w:t>玛纳斯县水利局为行政机关单位，实有在职人员7人，下</w:t>
      </w:r>
    </w:p>
    <w:p>
      <w:pPr>
        <w:spacing w:line="540" w:lineRule="exact"/>
        <w:rPr>
          <w:rStyle w:val="17"/>
          <w:rFonts w:ascii="仿宋" w:hAnsi="仿宋" w:eastAsia="仿宋"/>
          <w:b w:val="0"/>
          <w:spacing w:val="-4"/>
          <w:sz w:val="32"/>
          <w:szCs w:val="32"/>
        </w:rPr>
      </w:pPr>
      <w:r>
        <w:rPr>
          <w:rStyle w:val="17"/>
          <w:rFonts w:hint="eastAsia" w:ascii="仿宋" w:hAnsi="仿宋" w:eastAsia="仿宋"/>
          <w:b w:val="0"/>
          <w:spacing w:val="-4"/>
          <w:sz w:val="32"/>
          <w:szCs w:val="32"/>
        </w:rPr>
        <w:t>属全额事业单位4个，水利工程质量监督站实有7人，水政办</w:t>
      </w:r>
    </w:p>
    <w:p>
      <w:pPr>
        <w:spacing w:line="540" w:lineRule="exact"/>
        <w:rPr>
          <w:rStyle w:val="17"/>
          <w:rFonts w:ascii="仿宋" w:hAnsi="仿宋" w:eastAsia="仿宋"/>
          <w:b w:val="0"/>
          <w:spacing w:val="-4"/>
          <w:sz w:val="32"/>
          <w:szCs w:val="32"/>
        </w:rPr>
      </w:pPr>
      <w:r>
        <w:rPr>
          <w:rStyle w:val="17"/>
          <w:rFonts w:hint="eastAsia" w:ascii="仿宋" w:hAnsi="仿宋" w:eastAsia="仿宋"/>
          <w:b w:val="0"/>
          <w:spacing w:val="-4"/>
          <w:sz w:val="32"/>
          <w:szCs w:val="32"/>
        </w:rPr>
        <w:t>实有参公人员1名，事业人员11名，水土保持监督站实有人员</w:t>
      </w:r>
    </w:p>
    <w:p>
      <w:pPr>
        <w:spacing w:line="540" w:lineRule="exact"/>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2名，防洪办为水利局下属事业单位，负责全县防洪抗旱的日常工作，现有编制人员2人。</w:t>
      </w:r>
    </w:p>
    <w:p>
      <w:pPr>
        <w:spacing w:line="540" w:lineRule="exact"/>
        <w:ind w:firstLine="564" w:firstLineChars="181"/>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玛纳斯县水利局负责《水法》、《水土保持法》等水法律、法规的组织实施和监督检查，拟定全县水行政的政策措施、发展战略和中长期规划，并依法监督实施。统一管理全县水资源，拟定节约用水政策，编制节约用水规划，制定有关标准，拟定水资源保护规划，拟定水利、水电、水产行业的经济调节措施 ，管理和监督水利部门国有资产的保值增值，对水利资金的收缴、使用进行监督检查。组织编制和审查全县境内水利、水电、水产基本建设项目建议书和可行性报告及初步设计。负责全县水利设施、水域及其岸线的管理与保护，负责县内主要河流、水库的综合治理及开发利用工作，负责全县水保工作，负责全县防汛抗旱指挥部的日常工作，负责水利系统的党建、纪检、组织、宣传、干部人事管理、精神文明建设工作，承办县人民政府交办的其他事项。防洪办为水利局下属事业单位，负责全县防洪抗旱的日常工作，现有编制人员2人。</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4" w:firstLineChars="181"/>
        <w:rPr>
          <w:rStyle w:val="17"/>
          <w:rFonts w:hint="eastAsia" w:ascii="仿宋" w:hAnsi="仿宋" w:eastAsia="仿宋"/>
          <w:b w:val="0"/>
          <w:spacing w:val="-4"/>
          <w:sz w:val="32"/>
          <w:szCs w:val="32"/>
          <w:lang w:val="en-US" w:eastAsia="zh-CN"/>
        </w:rPr>
      </w:pPr>
      <w:r>
        <w:rPr>
          <w:rStyle w:val="17"/>
          <w:rFonts w:hint="eastAsia" w:ascii="仿宋" w:hAnsi="仿宋" w:eastAsia="仿宋"/>
          <w:b w:val="0"/>
          <w:spacing w:val="-4"/>
          <w:sz w:val="32"/>
          <w:szCs w:val="32"/>
          <w:lang w:eastAsia="zh-CN"/>
        </w:rPr>
        <w:t>本项目于</w:t>
      </w:r>
      <w:r>
        <w:rPr>
          <w:rStyle w:val="17"/>
          <w:rFonts w:hint="eastAsia" w:ascii="仿宋" w:hAnsi="仿宋" w:eastAsia="仿宋"/>
          <w:b w:val="0"/>
          <w:spacing w:val="-4"/>
          <w:sz w:val="32"/>
          <w:szCs w:val="32"/>
          <w:lang w:val="en-US" w:eastAsia="zh-CN"/>
        </w:rPr>
        <w:t>2017年招标由新疆天盛伟业建筑工程有限公司承建，对玛纳斯县防洪应急指挥中心及水政水资源服务大厅内部设施进行改造，其内容主要包括：室内装饰装修及水、电改造，具体规范执行新疆地区现有标准及规范。材料按设计及相关规范等要求采购，并提供供货方的材料合格证明及检验报告。</w:t>
      </w:r>
    </w:p>
    <w:p>
      <w:pPr>
        <w:spacing w:line="540" w:lineRule="exact"/>
        <w:ind w:firstLine="564" w:firstLineChars="181"/>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项目性质</w:t>
      </w:r>
      <w:r>
        <w:rPr>
          <w:rStyle w:val="17"/>
          <w:rFonts w:hint="eastAsia" w:ascii="仿宋" w:hAnsi="仿宋" w:eastAsia="仿宋"/>
          <w:b w:val="0"/>
          <w:spacing w:val="-4"/>
          <w:sz w:val="32"/>
          <w:szCs w:val="32"/>
          <w:lang w:eastAsia="zh-CN"/>
        </w:rPr>
        <w:t>：新建</w:t>
      </w:r>
      <w:r>
        <w:rPr>
          <w:rStyle w:val="17"/>
          <w:rFonts w:hint="eastAsia" w:ascii="仿宋" w:hAnsi="仿宋" w:eastAsia="仿宋"/>
          <w:b w:val="0"/>
          <w:spacing w:val="-4"/>
          <w:sz w:val="32"/>
          <w:szCs w:val="32"/>
        </w:rPr>
        <w:t xml:space="preserve"> ，用途:</w:t>
      </w:r>
      <w:r>
        <w:rPr>
          <w:rStyle w:val="17"/>
          <w:rFonts w:hint="eastAsia" w:ascii="仿宋" w:hAnsi="仿宋" w:eastAsia="仿宋"/>
          <w:b w:val="0"/>
          <w:spacing w:val="-4"/>
          <w:sz w:val="32"/>
          <w:szCs w:val="32"/>
          <w:lang w:eastAsia="zh-CN"/>
        </w:rPr>
        <w:t>防汛大楼装修改造</w:t>
      </w:r>
      <w:r>
        <w:rPr>
          <w:rStyle w:val="17"/>
          <w:rFonts w:hint="eastAsia" w:ascii="仿宋" w:hAnsi="仿宋" w:eastAsia="仿宋"/>
          <w:b w:val="0"/>
          <w:spacing w:val="-4"/>
          <w:sz w:val="32"/>
          <w:szCs w:val="32"/>
        </w:rPr>
        <w:t>。</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4" w:firstLineChars="181"/>
        <w:rPr>
          <w:rStyle w:val="17"/>
          <w:rFonts w:ascii="仿宋" w:hAnsi="仿宋" w:eastAsia="仿宋"/>
          <w:b w:val="0"/>
          <w:spacing w:val="-4"/>
          <w:sz w:val="32"/>
          <w:szCs w:val="32"/>
        </w:rPr>
      </w:pPr>
      <w:r>
        <w:rPr>
          <w:rStyle w:val="17"/>
          <w:rFonts w:hint="eastAsia" w:ascii="仿宋" w:hAnsi="仿宋" w:eastAsia="仿宋"/>
          <w:b w:val="0"/>
          <w:spacing w:val="-4"/>
          <w:sz w:val="32"/>
          <w:szCs w:val="32"/>
        </w:rPr>
        <w:t>项目总投资</w:t>
      </w:r>
      <w:r>
        <w:rPr>
          <w:rStyle w:val="17"/>
          <w:rFonts w:hint="eastAsia" w:ascii="仿宋" w:hAnsi="仿宋" w:eastAsia="仿宋"/>
          <w:b w:val="0"/>
          <w:spacing w:val="-4"/>
          <w:sz w:val="32"/>
          <w:szCs w:val="32"/>
          <w:lang w:val="en-US" w:eastAsia="zh-CN"/>
        </w:rPr>
        <w:t>549</w:t>
      </w:r>
      <w:r>
        <w:rPr>
          <w:rStyle w:val="17"/>
          <w:rFonts w:hint="eastAsia" w:ascii="仿宋" w:hAnsi="仿宋" w:eastAsia="仿宋"/>
          <w:b w:val="0"/>
          <w:spacing w:val="-4"/>
          <w:sz w:val="32"/>
          <w:szCs w:val="32"/>
        </w:rPr>
        <w:t>万元，资金来源为</w:t>
      </w:r>
      <w:r>
        <w:rPr>
          <w:rStyle w:val="17"/>
          <w:rFonts w:hint="eastAsia" w:ascii="仿宋" w:hAnsi="仿宋" w:eastAsia="仿宋"/>
          <w:b w:val="0"/>
          <w:spacing w:val="-4"/>
          <w:sz w:val="32"/>
          <w:szCs w:val="32"/>
          <w:lang w:eastAsia="zh-CN"/>
        </w:rPr>
        <w:t>县级财政资金，项目从</w:t>
      </w:r>
      <w:r>
        <w:rPr>
          <w:rStyle w:val="17"/>
          <w:rFonts w:hint="eastAsia" w:ascii="仿宋" w:hAnsi="仿宋" w:eastAsia="仿宋"/>
          <w:b w:val="0"/>
          <w:spacing w:val="-4"/>
          <w:sz w:val="32"/>
          <w:szCs w:val="32"/>
          <w:lang w:val="en-US" w:eastAsia="zh-CN"/>
        </w:rPr>
        <w:t>2017年开始建设，2018年项目追加县级财政资金180万元。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4" w:firstLineChars="181"/>
        <w:rPr>
          <w:rStyle w:val="17"/>
          <w:rFonts w:hint="eastAsia" w:ascii="仿宋" w:hAnsi="仿宋" w:eastAsia="仿宋"/>
          <w:b w:val="0"/>
          <w:spacing w:val="-4"/>
          <w:sz w:val="32"/>
          <w:szCs w:val="32"/>
          <w:lang w:val="en-US" w:eastAsia="zh-CN"/>
        </w:rPr>
      </w:pPr>
      <w:r>
        <w:rPr>
          <w:rStyle w:val="17"/>
          <w:rFonts w:hint="eastAsia" w:ascii="仿宋" w:hAnsi="仿宋" w:eastAsia="仿宋"/>
          <w:b w:val="0"/>
          <w:spacing w:val="-4"/>
          <w:sz w:val="32"/>
          <w:szCs w:val="32"/>
          <w:lang w:eastAsia="zh-CN"/>
        </w:rPr>
        <w:t>项目于</w:t>
      </w:r>
      <w:r>
        <w:rPr>
          <w:rStyle w:val="17"/>
          <w:rFonts w:hint="eastAsia" w:ascii="仿宋" w:hAnsi="仿宋" w:eastAsia="仿宋"/>
          <w:b w:val="0"/>
          <w:spacing w:val="-4"/>
          <w:sz w:val="32"/>
          <w:szCs w:val="32"/>
          <w:lang w:val="en-US" w:eastAsia="zh-CN"/>
        </w:rPr>
        <w:t>2017年开始施工，并于2017年年底完成施工，项目资金按项目实施进度进行付款，现已付款达90%，2018年追加项目资金180万元，已全部支付施工方。</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left="319" w:leftChars="152" w:firstLine="636" w:firstLineChars="204"/>
        <w:rPr>
          <w:rStyle w:val="17"/>
          <w:rFonts w:hint="eastAsia" w:ascii="仿宋" w:hAnsi="仿宋" w:eastAsia="仿宋"/>
          <w:b w:val="0"/>
          <w:spacing w:val="-4"/>
          <w:sz w:val="32"/>
          <w:szCs w:val="32"/>
          <w:lang w:eastAsia="zh-CN"/>
        </w:rPr>
      </w:pPr>
      <w:r>
        <w:rPr>
          <w:rStyle w:val="17"/>
          <w:rFonts w:hint="eastAsia" w:ascii="仿宋" w:hAnsi="仿宋" w:eastAsia="仿宋"/>
          <w:b w:val="0"/>
          <w:spacing w:val="-4"/>
          <w:sz w:val="32"/>
          <w:szCs w:val="32"/>
          <w:lang w:eastAsia="zh-CN"/>
        </w:rPr>
        <w:t>此项目为装修改造工程，资金为县级财政资金，控制严格，项目资金拨付严格按照工程进度及合同约定进行。</w:t>
      </w:r>
    </w:p>
    <w:p>
      <w:pPr>
        <w:spacing w:line="540" w:lineRule="exact"/>
        <w:ind w:left="319" w:leftChars="152" w:firstLine="636" w:firstLineChars="204"/>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24" w:firstLineChars="200"/>
        <w:rPr>
          <w:rStyle w:val="17"/>
          <w:rFonts w:hint="eastAsia" w:ascii="仿宋" w:hAnsi="仿宋" w:eastAsia="仿宋"/>
          <w:b w:val="0"/>
          <w:spacing w:val="-4"/>
          <w:sz w:val="32"/>
          <w:szCs w:val="32"/>
          <w:lang w:eastAsia="zh-CN"/>
        </w:rPr>
      </w:pPr>
      <w:r>
        <w:rPr>
          <w:rStyle w:val="17"/>
          <w:rFonts w:hint="eastAsia" w:ascii="仿宋" w:hAnsi="仿宋" w:eastAsia="仿宋"/>
          <w:b w:val="0"/>
          <w:spacing w:val="-4"/>
          <w:sz w:val="32"/>
          <w:szCs w:val="32"/>
          <w:lang w:eastAsia="zh-CN"/>
        </w:rPr>
        <w:t>此项目为装修改造工程，前期通过县政府采购进行招标，实施招标程序，确定施工中标单位。水利局作为项目业主专门指定分管领导及监督管理人员跟踪建设全过程，工程全过程由新疆天正监理公司予以监督，对工程建设全过程及工程建设内容、施工规范、材料、质量等进行监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lang w:eastAsia="zh-CN"/>
        </w:rPr>
        <w:t>为更好的建设好本</w:t>
      </w:r>
      <w:r>
        <w:rPr>
          <w:rStyle w:val="17"/>
          <w:rFonts w:hint="eastAsia" w:ascii="仿宋" w:hAnsi="仿宋" w:eastAsia="仿宋"/>
          <w:b w:val="0"/>
          <w:spacing w:val="-4"/>
          <w:sz w:val="32"/>
          <w:szCs w:val="32"/>
        </w:rPr>
        <w:t>项目</w:t>
      </w:r>
      <w:r>
        <w:rPr>
          <w:rStyle w:val="17"/>
          <w:rFonts w:hint="eastAsia" w:ascii="仿宋" w:hAnsi="仿宋" w:eastAsia="仿宋"/>
          <w:b w:val="0"/>
          <w:spacing w:val="-4"/>
          <w:sz w:val="32"/>
          <w:szCs w:val="32"/>
          <w:lang w:eastAsia="zh-CN"/>
        </w:rPr>
        <w:t>，要求施工不能阻碍正常交通和安全，在政府相关部门要求的时间内施工。满足有关工程建设、安全规范要求，采取必要的保护措施，制定各项项目管理制度。</w:t>
      </w:r>
      <w:r>
        <w:rPr>
          <w:rStyle w:val="17"/>
          <w:rFonts w:hint="eastAsia" w:ascii="仿宋" w:hAnsi="仿宋" w:eastAsia="仿宋"/>
          <w:b w:val="0"/>
          <w:spacing w:val="-4"/>
          <w:sz w:val="32"/>
          <w:szCs w:val="32"/>
        </w:rPr>
        <w:t>做好工程监督工作，工程质量达到要求。</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24" w:firstLineChars="200"/>
        <w:rPr>
          <w:rStyle w:val="17"/>
          <w:rFonts w:hint="eastAsia" w:ascii="仿宋" w:hAnsi="仿宋" w:eastAsia="仿宋"/>
          <w:b w:val="0"/>
          <w:spacing w:val="-4"/>
          <w:sz w:val="32"/>
          <w:szCs w:val="32"/>
          <w:lang w:eastAsia="zh-CN"/>
        </w:rPr>
      </w:pPr>
      <w:r>
        <w:rPr>
          <w:rStyle w:val="17"/>
          <w:rFonts w:hint="eastAsia" w:ascii="仿宋" w:hAnsi="仿宋" w:eastAsia="仿宋"/>
          <w:b w:val="0"/>
          <w:spacing w:val="-4"/>
          <w:sz w:val="32"/>
          <w:szCs w:val="32"/>
        </w:rPr>
        <w:t>项目现已完成全部施工内容 ，</w:t>
      </w:r>
      <w:r>
        <w:rPr>
          <w:rStyle w:val="17"/>
          <w:rFonts w:hint="eastAsia" w:ascii="仿宋" w:hAnsi="仿宋" w:eastAsia="仿宋"/>
          <w:b w:val="0"/>
          <w:spacing w:val="-4"/>
          <w:sz w:val="32"/>
          <w:szCs w:val="32"/>
          <w:lang w:eastAsia="zh-CN"/>
        </w:rPr>
        <w:t>水利局及各单位已搬入办公，项目资料已送交县审计局审计，楼内水、电使用正常，各项装修符合工作需要。</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hint="eastAsia" w:ascii="仿宋" w:hAnsi="仿宋" w:eastAsia="仿宋"/>
          <w:spacing w:val="-4"/>
          <w:sz w:val="32"/>
          <w:szCs w:val="32"/>
          <w:lang w:eastAsia="zh-CN"/>
        </w:rPr>
      </w:pPr>
      <w:r>
        <w:rPr>
          <w:rFonts w:hint="eastAsia" w:ascii="仿宋" w:hAnsi="仿宋" w:eastAsia="仿宋"/>
          <w:spacing w:val="-4"/>
          <w:sz w:val="32"/>
          <w:szCs w:val="32"/>
          <w:lang w:eastAsia="zh-CN"/>
        </w:rPr>
        <w:t>项目已完成，已完成既定目标</w:t>
      </w:r>
    </w:p>
    <w:p>
      <w:pPr>
        <w:spacing w:line="540" w:lineRule="exact"/>
        <w:ind w:firstLine="640"/>
        <w:rPr>
          <w:rStyle w:val="17"/>
          <w:rFonts w:hint="eastAsia" w:ascii="仿宋" w:hAnsi="仿宋" w:eastAsia="仿宋" w:cs="仿宋"/>
          <w:b w:val="0"/>
          <w:spacing w:val="-4"/>
          <w:sz w:val="32"/>
          <w:szCs w:val="32"/>
        </w:rPr>
      </w:pPr>
      <w:r>
        <w:rPr>
          <w:rStyle w:val="17"/>
          <w:rFonts w:hint="eastAsia" w:ascii="仿宋" w:hAnsi="仿宋" w:eastAsia="仿宋" w:cs="仿宋"/>
          <w:b/>
          <w:bCs w:val="0"/>
          <w:spacing w:val="-4"/>
          <w:sz w:val="32"/>
          <w:szCs w:val="32"/>
        </w:rPr>
        <w:t>五、其他需要说明的问题</w:t>
      </w:r>
    </w:p>
    <w:p>
      <w:pPr>
        <w:spacing w:line="540" w:lineRule="exact"/>
        <w:ind w:firstLine="567" w:firstLineChars="181"/>
        <w:rPr>
          <w:rFonts w:hint="eastAsia" w:ascii="楷体" w:hAnsi="楷体" w:eastAsia="楷体"/>
          <w:b/>
          <w:spacing w:val="-4"/>
          <w:sz w:val="32"/>
          <w:szCs w:val="32"/>
          <w:highlight w:val="none"/>
          <w:lang w:eastAsia="zh-CN"/>
        </w:rPr>
      </w:pPr>
      <w:r>
        <w:rPr>
          <w:rFonts w:hint="eastAsia" w:ascii="楷体" w:hAnsi="楷体" w:eastAsia="楷体"/>
          <w:b/>
          <w:spacing w:val="-4"/>
          <w:sz w:val="32"/>
          <w:szCs w:val="32"/>
          <w:highlight w:val="none"/>
        </w:rPr>
        <w:t>（一）后续工作计</w:t>
      </w:r>
      <w:r>
        <w:rPr>
          <w:rFonts w:hint="eastAsia" w:ascii="楷体" w:hAnsi="楷体" w:eastAsia="楷体"/>
          <w:b/>
          <w:spacing w:val="-4"/>
          <w:sz w:val="32"/>
          <w:szCs w:val="32"/>
          <w:highlight w:val="none"/>
          <w:lang w:eastAsia="zh-CN"/>
        </w:rPr>
        <w:t>划</w:t>
      </w:r>
    </w:p>
    <w:p>
      <w:pPr>
        <w:spacing w:line="540" w:lineRule="exact"/>
        <w:ind w:firstLine="564" w:firstLineChars="181"/>
        <w:rPr>
          <w:rFonts w:hint="eastAsia" w:ascii="仿宋" w:hAnsi="仿宋" w:eastAsia="仿宋" w:cs="仿宋"/>
          <w:b/>
          <w:spacing w:val="-4"/>
          <w:sz w:val="32"/>
          <w:szCs w:val="32"/>
          <w:highlight w:val="none"/>
          <w:lang w:val="en-US" w:eastAsia="zh-CN"/>
        </w:rPr>
      </w:pPr>
      <w:r>
        <w:rPr>
          <w:rFonts w:hint="eastAsia" w:ascii="仿宋" w:hAnsi="仿宋" w:eastAsia="仿宋" w:cs="仿宋"/>
          <w:b w:val="0"/>
          <w:bCs/>
          <w:spacing w:val="-4"/>
          <w:sz w:val="32"/>
          <w:szCs w:val="32"/>
          <w:highlight w:val="none"/>
          <w:lang w:eastAsia="zh-CN"/>
        </w:rPr>
        <w:t>在后续工作中，完成防汛大楼的改造后，继续加强软件设施的不断完善，使得硬件设施与软件相配套，加强人员专业素质的提高，各方面互相结合，切实利用设施及设备达到设施改造的最终目的，不断加强水资源管理的智能化动态监测，提高防洪预警及各乡镇的山洪灾害的防治能力。</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（二）主要经验及做法、存在问题和建议</w:t>
      </w:r>
    </w:p>
    <w:p>
      <w:pPr>
        <w:spacing w:line="540" w:lineRule="exact"/>
        <w:ind w:firstLine="564" w:firstLineChars="181"/>
        <w:rPr>
          <w:rFonts w:hint="eastAsia" w:ascii="仿宋" w:hAnsi="仿宋" w:eastAsia="仿宋" w:cs="仿宋"/>
          <w:spacing w:val="-4"/>
          <w:sz w:val="32"/>
          <w:szCs w:val="32"/>
          <w:highlight w:val="none"/>
          <w:lang w:val="en-US" w:eastAsia="zh-CN"/>
        </w:rPr>
      </w:pPr>
      <w:r>
        <w:rPr>
          <w:rFonts w:hint="eastAsia" w:ascii="仿宋" w:hAnsi="仿宋" w:eastAsia="仿宋" w:cs="仿宋"/>
          <w:spacing w:val="-4"/>
          <w:sz w:val="32"/>
          <w:szCs w:val="32"/>
          <w:highlight w:val="none"/>
          <w:lang w:eastAsia="zh-CN"/>
        </w:rPr>
        <w:t>本期财政拨款</w:t>
      </w:r>
      <w:r>
        <w:rPr>
          <w:rFonts w:hint="eastAsia" w:ascii="仿宋" w:hAnsi="仿宋" w:eastAsia="仿宋" w:cs="仿宋"/>
          <w:spacing w:val="-4"/>
          <w:sz w:val="32"/>
          <w:szCs w:val="32"/>
          <w:highlight w:val="none"/>
          <w:lang w:val="en-US" w:eastAsia="zh-CN"/>
        </w:rPr>
        <w:t>180万元，因项目已全部完成，所以资金全部支付给施工单位，支付方式采取直接支付形式，避免了资金滞留现象，减短资金流转过程。施工过程中还是需要专业管理，切合实际实施水、电改造以更科学的使项目能够为今后的工作服务。</w:t>
      </w:r>
    </w:p>
    <w:p>
      <w:pPr>
        <w:spacing w:line="540" w:lineRule="exact"/>
        <w:ind w:firstLine="567" w:firstLineChars="181"/>
        <w:rPr>
          <w:rFonts w:hint="eastAsia" w:ascii="楷体" w:hAnsi="楷体" w:eastAsia="楷体"/>
          <w:b/>
          <w:spacing w:val="-4"/>
          <w:sz w:val="32"/>
          <w:szCs w:val="32"/>
          <w:highlight w:val="none"/>
          <w:lang w:eastAsia="zh-CN"/>
        </w:rPr>
      </w:pPr>
      <w:r>
        <w:rPr>
          <w:rFonts w:hint="eastAsia" w:ascii="楷体" w:hAnsi="楷体" w:eastAsia="楷体"/>
          <w:b/>
          <w:spacing w:val="-4"/>
          <w:sz w:val="32"/>
          <w:szCs w:val="32"/>
          <w:highlight w:val="none"/>
        </w:rPr>
        <w:t>（三）其他</w:t>
      </w:r>
    </w:p>
    <w:p>
      <w:pPr>
        <w:spacing w:line="540" w:lineRule="exact"/>
        <w:ind w:firstLine="640"/>
        <w:rPr>
          <w:rFonts w:hint="eastAsia" w:ascii="楷体" w:hAnsi="楷体" w:eastAsia="楷体"/>
          <w:b w:val="0"/>
          <w:bCs/>
          <w:spacing w:val="-4"/>
          <w:sz w:val="32"/>
          <w:szCs w:val="32"/>
          <w:highlight w:val="none"/>
          <w:lang w:eastAsia="zh-CN"/>
        </w:rPr>
      </w:pPr>
      <w:r>
        <w:rPr>
          <w:rFonts w:hint="eastAsia" w:ascii="仿宋" w:hAnsi="仿宋" w:eastAsia="仿宋" w:cs="仿宋"/>
          <w:b w:val="0"/>
          <w:bCs/>
          <w:spacing w:val="-4"/>
          <w:sz w:val="32"/>
          <w:szCs w:val="32"/>
          <w:highlight w:val="none"/>
          <w:lang w:eastAsia="zh-CN"/>
        </w:rPr>
        <w:t>无</w:t>
      </w:r>
      <w:bookmarkStart w:id="0" w:name="_GoBack"/>
      <w:bookmarkEnd w:id="0"/>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包括评价基础数据收集、资料来源和依据等佐证材料都来自现场施工记录及审计报告及单位财务支出票据，项目现场勘验检查核实由县防洪办具体负责监督。</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《玛纳斯县财政项目支出绩效自评表》</w:t>
      </w: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防汛大楼改造项目</w:t>
            </w:r>
          </w:p>
        </w:tc>
      </w:tr>
      <w:tr>
        <w:tblPrEx>
          <w:tblLayout w:type="fixed"/>
          <w:tblCellMar>
            <w:top w:w="0" w:type="dxa"/>
            <w:left w:w="108" w:type="dxa"/>
            <w:bottom w:w="0" w:type="dxa"/>
            <w:right w:w="108" w:type="dxa"/>
          </w:tblCellMar>
        </w:tblPrEx>
        <w:trPr>
          <w:trHeight w:val="47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180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180</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180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180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val="en-US" w:eastAsia="zh-CN"/>
              </w:rPr>
              <w:t>室内装饰装修及水、电改造，具体规范执行新疆地区现有标准及规范。材料按设计及相关规范等要求采购，并提供供货方的材料合格证明及检验报告。</w:t>
            </w:r>
          </w:p>
        </w:tc>
        <w:tc>
          <w:tcPr>
            <w:tcW w:w="3840" w:type="dxa"/>
            <w:gridSpan w:val="2"/>
            <w:tcBorders>
              <w:top w:val="single" w:color="auto" w:sz="4" w:space="0"/>
              <w:left w:val="nil"/>
              <w:bottom w:val="single" w:color="auto" w:sz="4" w:space="0"/>
              <w:right w:val="single" w:color="000000" w:sz="4" w:space="0"/>
            </w:tcBorders>
            <w:shd w:val="clear" w:color="auto" w:fill="auto"/>
          </w:tcPr>
          <w:p>
            <w:pPr>
              <w:ind w:firstLine="400" w:firstLineChars="200"/>
              <w:rPr>
                <w:rFonts w:ascii="宋体" w:hAnsi="宋体" w:cs="宋体"/>
                <w:kern w:val="0"/>
                <w:sz w:val="20"/>
                <w:szCs w:val="20"/>
              </w:rPr>
            </w:pPr>
            <w:r>
              <w:rPr>
                <w:rFonts w:hint="eastAsia" w:ascii="宋体" w:hAnsi="宋体" w:cs="宋体"/>
                <w:kern w:val="0"/>
                <w:sz w:val="20"/>
                <w:szCs w:val="20"/>
                <w:lang w:val="en-US" w:eastAsia="zh-CN"/>
              </w:rPr>
              <w:t>室内装饰装修及水、电改造，具体规范执行新疆地区现有标准及规范。材料按设计及相关规范等要求采购，并提供供货方的材料合格证明及检验报告。</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ind w:firstLine="400" w:firstLineChars="200"/>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ind w:firstLine="400" w:firstLineChars="200"/>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改造面积</w:t>
            </w:r>
          </w:p>
        </w:tc>
        <w:tc>
          <w:tcPr>
            <w:tcW w:w="2060" w:type="dxa"/>
            <w:tcBorders>
              <w:top w:val="nil"/>
              <w:left w:val="nil"/>
              <w:bottom w:val="single" w:color="auto" w:sz="4" w:space="0"/>
              <w:right w:val="single" w:color="auto" w:sz="4" w:space="0"/>
            </w:tcBorders>
            <w:shd w:val="clear" w:color="auto" w:fill="auto"/>
            <w:vAlign w:val="center"/>
          </w:tcPr>
          <w:p>
            <w:pP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4779.08平方米</w:t>
            </w: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r>
              <w:rPr>
                <w:rFonts w:hint="eastAsia" w:ascii="宋体" w:hAnsi="宋体" w:cs="宋体"/>
                <w:kern w:val="0"/>
                <w:sz w:val="20"/>
                <w:szCs w:val="20"/>
                <w:lang w:val="en-US" w:eastAsia="zh-CN"/>
              </w:rPr>
              <w:t>4779.08平方米</w:t>
            </w:r>
          </w:p>
        </w:tc>
      </w:tr>
      <w:tr>
        <w:tblPrEx>
          <w:tblLayout w:type="fixed"/>
          <w:tblCellMar>
            <w:top w:w="0" w:type="dxa"/>
            <w:left w:w="108" w:type="dxa"/>
            <w:bottom w:w="0" w:type="dxa"/>
            <w:right w:w="108" w:type="dxa"/>
          </w:tblCellMar>
        </w:tblPrEx>
        <w:trPr>
          <w:trHeight w:val="46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rPr>
                <w:rFonts w:hint="eastAsia" w:ascii="宋体" w:hAnsi="宋体" w:eastAsia="宋体" w:cs="宋体"/>
                <w:kern w:val="0"/>
                <w:sz w:val="20"/>
                <w:szCs w:val="20"/>
                <w:lang w:eastAsia="zh-CN"/>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水、电改造面积</w:t>
            </w:r>
          </w:p>
        </w:tc>
        <w:tc>
          <w:tcPr>
            <w:tcW w:w="2060" w:type="dxa"/>
            <w:tcBorders>
              <w:top w:val="nil"/>
              <w:left w:val="nil"/>
              <w:bottom w:val="single" w:color="auto" w:sz="4" w:space="0"/>
              <w:right w:val="single" w:color="auto" w:sz="4" w:space="0"/>
            </w:tcBorders>
            <w:shd w:val="clear" w:color="auto" w:fill="auto"/>
            <w:vAlign w:val="center"/>
          </w:tcPr>
          <w:p>
            <w:pP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4779.08平方米</w:t>
            </w: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r>
              <w:rPr>
                <w:rFonts w:hint="eastAsia" w:ascii="宋体" w:hAnsi="宋体" w:cs="宋体"/>
                <w:kern w:val="0"/>
                <w:sz w:val="20"/>
                <w:szCs w:val="20"/>
                <w:lang w:val="en-US" w:eastAsia="zh-CN"/>
              </w:rPr>
              <w:t>4779.08平方米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1</w:t>
            </w:r>
            <w:r>
              <w:rPr>
                <w:rFonts w:hint="eastAsia" w:ascii="宋体" w:hAnsi="宋体" w:cs="宋体"/>
                <w:kern w:val="0"/>
                <w:sz w:val="20"/>
                <w:szCs w:val="20"/>
              </w:rPr>
              <w:t>：</w:t>
            </w:r>
            <w:r>
              <w:rPr>
                <w:rFonts w:hint="eastAsia" w:ascii="宋体" w:hAnsi="宋体" w:cs="宋体"/>
                <w:kern w:val="0"/>
                <w:sz w:val="20"/>
                <w:szCs w:val="20"/>
                <w:lang w:eastAsia="zh-CN"/>
              </w:rPr>
              <w:t>项目验收合格率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98%</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98%</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指标1：20</w:t>
            </w:r>
            <w:r>
              <w:rPr>
                <w:rFonts w:hint="eastAsia" w:ascii="宋体" w:hAnsi="宋体" w:cs="宋体"/>
                <w:kern w:val="0"/>
                <w:sz w:val="20"/>
                <w:szCs w:val="20"/>
                <w:lang w:val="en-US" w:eastAsia="zh-CN"/>
              </w:rPr>
              <w:t>17</w:t>
            </w:r>
            <w:r>
              <w:rPr>
                <w:rFonts w:hint="eastAsia" w:ascii="宋体" w:hAnsi="宋体" w:cs="宋体"/>
                <w:kern w:val="0"/>
                <w:sz w:val="20"/>
                <w:szCs w:val="20"/>
              </w:rPr>
              <w:t>.</w:t>
            </w:r>
            <w:r>
              <w:rPr>
                <w:rFonts w:hint="eastAsia" w:ascii="宋体" w:hAnsi="宋体" w:cs="宋体"/>
                <w:kern w:val="0"/>
                <w:sz w:val="20"/>
                <w:szCs w:val="20"/>
                <w:lang w:val="en-US" w:eastAsia="zh-CN"/>
              </w:rPr>
              <w:t>11.30</w:t>
            </w:r>
            <w:r>
              <w:rPr>
                <w:rFonts w:hint="eastAsia" w:ascii="宋体" w:hAnsi="宋体" w:cs="宋体"/>
                <w:kern w:val="0"/>
                <w:sz w:val="20"/>
                <w:szCs w:val="20"/>
              </w:rPr>
              <w:t>前完成率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改造成本</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549万元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549万元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本期支付款</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180万元</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180万元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指标1：可影响时效</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长</w:t>
            </w:r>
            <w:r>
              <w:rPr>
                <w:rFonts w:hint="eastAsia" w:ascii="宋体" w:hAnsi="宋体" w:cs="宋体"/>
                <w:kern w:val="0"/>
                <w:sz w:val="20"/>
                <w:szCs w:val="20"/>
              </w:rPr>
              <w:t>期</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长</w:t>
            </w:r>
            <w:r>
              <w:rPr>
                <w:rFonts w:hint="eastAsia" w:ascii="宋体" w:hAnsi="宋体" w:cs="宋体"/>
                <w:kern w:val="0"/>
                <w:sz w:val="20"/>
                <w:szCs w:val="20"/>
              </w:rPr>
              <w:t>期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业主</w:t>
            </w:r>
            <w:r>
              <w:rPr>
                <w:rFonts w:hint="eastAsia" w:ascii="宋体" w:hAnsi="宋体" w:cs="宋体"/>
                <w:kern w:val="0"/>
                <w:sz w:val="20"/>
                <w:szCs w:val="20"/>
              </w:rPr>
              <w:t>满意度</w:t>
            </w:r>
          </w:p>
        </w:tc>
        <w:tc>
          <w:tcPr>
            <w:tcW w:w="2060" w:type="dxa"/>
            <w:tcBorders>
              <w:top w:val="nil"/>
              <w:left w:val="nil"/>
              <w:bottom w:val="single" w:color="auto" w:sz="4" w:space="0"/>
              <w:right w:val="single" w:color="auto" w:sz="4" w:space="0"/>
            </w:tcBorders>
            <w:shd w:val="clear" w:color="auto" w:fill="auto"/>
            <w:vAlign w:val="center"/>
          </w:tcPr>
          <w:p>
            <w:pPr>
              <w:widowControl/>
              <w:jc w:val="both"/>
              <w:rPr>
                <w:rFonts w:ascii="宋体" w:hAnsi="宋体" w:cs="宋体"/>
                <w:kern w:val="0"/>
                <w:sz w:val="20"/>
                <w:szCs w:val="20"/>
              </w:rPr>
            </w:pPr>
            <w:r>
              <w:rPr>
                <w:rFonts w:hint="eastAsia" w:ascii="宋体" w:hAnsi="宋体" w:cs="宋体"/>
                <w:kern w:val="0"/>
                <w:sz w:val="20"/>
                <w:szCs w:val="20"/>
                <w:lang w:val="en-US" w:eastAsia="zh-CN"/>
              </w:rPr>
              <w:t xml:space="preserve">  90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90</w:t>
            </w:r>
            <w:r>
              <w:rPr>
                <w:rFonts w:hint="eastAsia" w:ascii="宋体" w:hAnsi="宋体" w:cs="宋体"/>
                <w:kern w:val="0"/>
                <w:sz w:val="20"/>
                <w:szCs w:val="20"/>
              </w:rPr>
              <w:t>%</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6AAD"/>
    <w:rsid w:val="001B3A40"/>
    <w:rsid w:val="003C18BC"/>
    <w:rsid w:val="004366A8"/>
    <w:rsid w:val="00464900"/>
    <w:rsid w:val="004730CD"/>
    <w:rsid w:val="004B519B"/>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64118"/>
    <w:rsid w:val="00DF42A0"/>
    <w:rsid w:val="00E46C51"/>
    <w:rsid w:val="00E769FE"/>
    <w:rsid w:val="00EA2CBE"/>
    <w:rsid w:val="00F32FEE"/>
    <w:rsid w:val="00FB10BB"/>
    <w:rsid w:val="04932A94"/>
    <w:rsid w:val="0D907FD2"/>
    <w:rsid w:val="16EA78AB"/>
    <w:rsid w:val="261508C2"/>
    <w:rsid w:val="278A3834"/>
    <w:rsid w:val="2B912077"/>
    <w:rsid w:val="391660C2"/>
    <w:rsid w:val="41B15D72"/>
    <w:rsid w:val="47F81CFF"/>
    <w:rsid w:val="4A8A33D3"/>
    <w:rsid w:val="5486498A"/>
    <w:rsid w:val="553C40C4"/>
    <w:rsid w:val="57834624"/>
    <w:rsid w:val="63C42FF6"/>
    <w:rsid w:val="65530A92"/>
    <w:rsid w:val="6DB13E30"/>
    <w:rsid w:val="6E6D28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2">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3"/>
    <w:qFormat/>
    <w:uiPriority w:val="9"/>
    <w:rPr>
      <w:rFonts w:asciiTheme="majorHAnsi" w:hAnsiTheme="majorHAnsi" w:eastAsiaTheme="majorEastAsia"/>
      <w:b/>
      <w:bCs/>
      <w:kern w:val="32"/>
      <w:sz w:val="32"/>
      <w:szCs w:val="32"/>
    </w:rPr>
  </w:style>
  <w:style w:type="character" w:customStyle="1" w:styleId="21">
    <w:name w:val="标题 2 Char"/>
    <w:basedOn w:val="16"/>
    <w:link w:val="2"/>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3"/>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376</Words>
  <Characters>2149</Characters>
  <Lines>17</Lines>
  <Paragraphs>5</Paragraphs>
  <TotalTime>18</TotalTime>
  <ScaleCrop>false</ScaleCrop>
  <LinksUpToDate>false</LinksUpToDate>
  <CharactersWithSpaces>2520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2019-01-15T18:54:00Z</cp:lastPrinted>
  <dcterms:modified xsi:type="dcterms:W3CDTF">2019-10-26T12:36:54Z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