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2880" w:hanging="2880" w:hangingChars="800"/>
        <w:jc w:val="left"/>
        <w:rPr>
          <w:rFonts w:ascii="仿宋" w:hAnsi="仿宋" w:eastAsia="仿宋" w:cs="宋体"/>
          <w:kern w:val="0"/>
          <w:sz w:val="36"/>
          <w:szCs w:val="36"/>
        </w:rPr>
      </w:pPr>
      <w:r>
        <w:rPr>
          <w:rFonts w:hint="eastAsia" w:hAnsi="宋体" w:eastAsia="仿宋_GB2312" w:cs="宋体"/>
          <w:kern w:val="0"/>
          <w:sz w:val="36"/>
          <w:szCs w:val="36"/>
        </w:rPr>
        <w:t xml:space="preserve">     </w:t>
      </w:r>
      <w:r>
        <w:rPr>
          <w:rFonts w:hint="eastAsia" w:ascii="仿宋" w:hAnsi="仿宋" w:eastAsia="仿宋" w:cs="宋体"/>
          <w:kern w:val="0"/>
          <w:sz w:val="36"/>
          <w:szCs w:val="36"/>
        </w:rPr>
        <w:t>项目名称：玛纳斯县“井电双控”设备及信息系统建设项目</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 xml:space="preserve">     实施单位（公章）：玛纳斯县水利局</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主管部门（公章）：玛纳斯县水利局</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项目负责人（签章）：王磊</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填报时间：2019 年2月13日</w:t>
      </w:r>
    </w:p>
    <w:p>
      <w:pPr>
        <w:spacing w:line="540" w:lineRule="exact"/>
        <w:jc w:val="center"/>
        <w:rPr>
          <w:rFonts w:hAnsi="宋体" w:eastAsia="仿宋_GB2312" w:cs="宋体"/>
          <w:kern w:val="0"/>
          <w:sz w:val="30"/>
          <w:szCs w:val="30"/>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玛纳斯县水利局为行政机关单位，实有在职人员7人，下</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属全额事业单位4个，水利工程质量监督站实有7人，水政办</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实有参公人员1名，事业人员11名，水土保持监督站实有人员</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2名，防汛抗旱指挥部实有人员2名。其职责为负责《水法》</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《水土保持法》等水法律、法规的组织实施和监督检查，拟定</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全县水行政的政策措施、发展战略和中长期规划，并依法监督</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实施。统一管理全县水资源，拟定节约用水政策，编制节约用</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水规划，制定有关标准，拟定水资源保护规划，拟定水利、水</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电、水产行业的经济调节措施，管理和监督水利部门国有资产</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的保值增值，对水利资金的收缴、使用进行监督检查。组织编</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制和审查全县境内水利、水电、水产基本建设项目建议书和可</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行性报告及初步设计。负责全县水利设施、水域及其岸线的管理理与保护，负责县内主要河流、水库的综合治理及开发利用工作，负责全县水保工作，负责全县防汛抗旱指挥部</w:t>
      </w:r>
      <w:bookmarkStart w:id="0" w:name="_GoBack"/>
      <w:bookmarkEnd w:id="0"/>
      <w:r>
        <w:rPr>
          <w:rStyle w:val="18"/>
          <w:rFonts w:hint="eastAsia" w:ascii="仿宋" w:hAnsi="仿宋" w:eastAsia="仿宋"/>
          <w:b w:val="0"/>
          <w:spacing w:val="-4"/>
          <w:sz w:val="32"/>
          <w:szCs w:val="32"/>
        </w:rPr>
        <w:t>的日常工作，负责水利系统的党建、纪检、组织、宣传、千部人事管理、精神文明建设工作，承办县人民政府交办的其他事项。</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ind w:firstLine="435"/>
        <w:rPr>
          <w:rFonts w:ascii="仿宋" w:hAnsi="仿宋" w:eastAsia="仿宋" w:cs="仿宋"/>
          <w:sz w:val="30"/>
          <w:szCs w:val="30"/>
        </w:rPr>
      </w:pPr>
      <w:r>
        <w:rPr>
          <w:rFonts w:hint="eastAsia" w:ascii="仿宋" w:hAnsi="仿宋" w:eastAsia="仿宋" w:cs="仿宋"/>
          <w:sz w:val="30"/>
          <w:szCs w:val="30"/>
        </w:rPr>
        <w:t>采购“井电双控”计量控制设备（不含远传模块）217套及（含远传模块）626套，配套安装附件及动力电缆；改造全县843眼机电井，并采购无线超声波水表843台（套），配套安装附件及水表防护箱；采购刷卡缴费管理软件1套，采购机电井信息化监控管理软件1套，服务器1台，不间断电源1套。</w:t>
      </w:r>
    </w:p>
    <w:p>
      <w:pPr>
        <w:ind w:firstLine="435"/>
        <w:rPr>
          <w:rFonts w:ascii="仿宋" w:hAnsi="仿宋" w:eastAsia="仿宋" w:cs="仿宋"/>
          <w:sz w:val="30"/>
          <w:szCs w:val="30"/>
        </w:rPr>
      </w:pPr>
      <w:r>
        <w:rPr>
          <w:rFonts w:hint="eastAsia" w:ascii="仿宋" w:hAnsi="仿宋" w:eastAsia="仿宋" w:cs="仿宋"/>
          <w:sz w:val="30"/>
          <w:szCs w:val="30"/>
        </w:rPr>
        <w:t>项目于2016年3月开始，计划于2018年5月完工。</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该项目总投资为：888.024万，全部为县级财政专项资金，2018年安排预算资金74.5万元用于支付工程款。</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截止2018年12月31日，项目已全部完工，当年支付工程款74.5万元。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本项目为玛纳斯县专项资金项目，项目由玛纳斯县水利局实施，建设内容符合项目预算，项目由县水利局监督实施，按照项目进度支付工程款，最终县水政办及组织相关部门组成验收小组进行验收。</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该项目于2016年3月由玛纳斯县政府采购中心执行招标，中标单位为青岛恒泽水利科技有限公司，玛纳斯县水利局与中标单位签订项目合同协议书。原合同为819眼机电井智能表安装，2018年补充合同新增安装24眼井智能水表。</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项目实施，具体由县水利局进行监督管理，项目主要抓好项目工作进度，为做好项目的各项内容顺利实施，特制定各相关制度，保障项目按期完成。</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Fonts w:ascii="仿宋" w:hAnsi="仿宋" w:eastAsia="仿宋"/>
          <w:bCs/>
          <w:spacing w:val="-4"/>
          <w:sz w:val="32"/>
          <w:szCs w:val="32"/>
        </w:rPr>
      </w:pPr>
      <w:r>
        <w:rPr>
          <w:rFonts w:hint="eastAsia" w:ascii="仿宋" w:hAnsi="仿宋" w:eastAsia="仿宋"/>
          <w:bCs/>
          <w:spacing w:val="-4"/>
          <w:sz w:val="32"/>
          <w:szCs w:val="32"/>
        </w:rPr>
        <w:t>全县843眼机电井全部安装了无线超声波水表以及配套附件、动力电缆以及水表防护箱；刷卡缴费管理软件1套；机电井信息化监控管理软件1套；服务器1台；不间断电源1套。2018年增加24眼机井智能表安装。各绩效指标均已完成。</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640"/>
        <w:rPr>
          <w:rFonts w:ascii="仿宋" w:hAnsi="仿宋" w:eastAsia="仿宋"/>
          <w:spacing w:val="-4"/>
          <w:sz w:val="32"/>
          <w:szCs w:val="32"/>
        </w:rPr>
      </w:pPr>
      <w:r>
        <w:rPr>
          <w:rFonts w:hint="eastAsia" w:ascii="仿宋" w:hAnsi="仿宋" w:eastAsia="仿宋"/>
          <w:spacing w:val="-4"/>
          <w:sz w:val="32"/>
          <w:szCs w:val="32"/>
        </w:rPr>
        <w:t>项目已实施完毕，已达成既定目标。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继续对相关单位的关键节点和薄弱环节进行督查检查，并对有关问题提出整改意见。</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hint="eastAsia" w:ascii="仿宋" w:hAnsi="仿宋" w:eastAsia="仿宋" w:cs="仿宋_GB2312"/>
          <w:sz w:val="32"/>
          <w:szCs w:val="32"/>
        </w:rPr>
      </w:pPr>
      <w:r>
        <w:rPr>
          <w:rFonts w:hint="eastAsia" w:ascii="仿宋" w:hAnsi="仿宋" w:eastAsia="仿宋"/>
          <w:spacing w:val="-4"/>
          <w:sz w:val="32"/>
          <w:szCs w:val="32"/>
        </w:rPr>
        <w:t>项目负责人加强领导、落实责任，明确各部门工作职责，相互协调，齐抓共管，加强对</w:t>
      </w:r>
      <w:r>
        <w:rPr>
          <w:rFonts w:hint="eastAsia" w:ascii="仿宋" w:hAnsi="仿宋" w:eastAsia="仿宋" w:cs="仿宋_GB2312"/>
          <w:sz w:val="32"/>
          <w:szCs w:val="32"/>
        </w:rPr>
        <w:t>工程的督查，确保工程建设有序推进。强化监管，确保质量同时确保资金效益。</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4" w:firstLineChars="181"/>
        <w:rPr>
          <w:rFonts w:ascii="楷体" w:hAnsi="楷体" w:eastAsia="楷体"/>
          <w:spacing w:val="-4"/>
          <w:sz w:val="32"/>
          <w:szCs w:val="32"/>
        </w:rPr>
      </w:pPr>
      <w:r>
        <w:rPr>
          <w:rFonts w:hint="eastAsia" w:ascii="楷体" w:hAnsi="楷体" w:eastAsia="楷体"/>
          <w:spacing w:val="-4"/>
          <w:sz w:val="32"/>
          <w:szCs w:val="32"/>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ind w:firstLine="624" w:firstLineChars="200"/>
        <w:rPr>
          <w:rFonts w:ascii="仿宋" w:hAnsi="仿宋" w:eastAsia="仿宋"/>
          <w:spacing w:val="-4"/>
          <w:sz w:val="32"/>
          <w:szCs w:val="32"/>
        </w:rPr>
      </w:pPr>
      <w:r>
        <w:rPr>
          <w:rFonts w:hint="eastAsia" w:ascii="仿宋" w:hAnsi="仿宋" w:eastAsia="仿宋"/>
          <w:spacing w:val="-4"/>
          <w:sz w:val="32"/>
          <w:szCs w:val="32"/>
        </w:rPr>
        <w:t>项目评价工作中评价基础数据主要来自于项目预算及项目实施工作台账。资料由项目业主单位提供，县水利局辅助整理和项目实施过程及完工后验收都有相关的建设照片进行佐证，项目现场由县水利局组织完成自验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《玛纳斯县财政项目支出绩效自评表》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p>
          <w:p>
            <w:pPr>
              <w:widowControl/>
              <w:jc w:val="center"/>
              <w:rPr>
                <w:rFonts w:ascii="宋体" w:hAnsi="宋体" w:cs="宋体"/>
                <w:b/>
                <w:bCs/>
                <w:kern w:val="0"/>
                <w:sz w:val="32"/>
                <w:szCs w:val="32"/>
              </w:rPr>
            </w:pPr>
          </w:p>
          <w:p>
            <w:pPr>
              <w:widowControl/>
              <w:jc w:val="center"/>
              <w:rPr>
                <w:rFonts w:hint="eastAsia" w:ascii="宋体" w:hAnsi="宋体" w:cs="宋体"/>
                <w:b/>
                <w:bCs/>
                <w:kern w:val="0"/>
                <w:sz w:val="32"/>
                <w:szCs w:val="32"/>
              </w:rPr>
            </w:pPr>
          </w:p>
          <w:p>
            <w:pPr>
              <w:widowControl/>
              <w:jc w:val="center"/>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玛纳斯县“井电双控”设备及信息化系统建设项目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玛纳斯县水利局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74.5</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74.5</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74.5</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74.5</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w:t>
            </w:r>
          </w:p>
          <w:p>
            <w:pPr>
              <w:widowControl/>
              <w:jc w:val="left"/>
              <w:rPr>
                <w:rFonts w:ascii="宋体" w:hAnsi="宋体" w:cs="宋体"/>
                <w:kern w:val="0"/>
                <w:sz w:val="20"/>
                <w:szCs w:val="20"/>
              </w:rPr>
            </w:pPr>
            <w:r>
              <w:rPr>
                <w:rFonts w:ascii="宋体" w:hAnsi="宋体" w:cs="宋体"/>
                <w:kern w:val="0"/>
                <w:sz w:val="20"/>
                <w:szCs w:val="20"/>
              </w:rPr>
              <w:tab/>
            </w:r>
            <w:r>
              <w:rPr>
                <w:rFonts w:hint="eastAsia" w:ascii="宋体" w:hAnsi="宋体" w:cs="宋体"/>
                <w:kern w:val="0"/>
                <w:sz w:val="20"/>
                <w:szCs w:val="20"/>
              </w:rPr>
              <w:t>采购“井电双控”计量控制设备（不含远传模块）217套及（含远传模块）626套，配套安装附件及动力电缆；改造全县843眼机电井，并采购无线超声波水表843台（套），配套安装附件及水表防护箱；采购刷卡缴费管理软件1套，采购机电井信息化监控管理软件1套，服务器1台，不间断电源1套。2018年增加24眼机井智能表安装。</w:t>
            </w:r>
          </w:p>
          <w:p>
            <w:pPr>
              <w:widowControl/>
              <w:jc w:val="left"/>
              <w:rPr>
                <w:rFonts w:ascii="宋体" w:hAnsi="宋体" w:cs="宋体"/>
                <w:kern w:val="0"/>
                <w:sz w:val="20"/>
                <w:szCs w:val="20"/>
              </w:rPr>
            </w:pPr>
            <w:r>
              <w:rPr>
                <w:rFonts w:hint="eastAsia" w:ascii="宋体" w:hAnsi="宋体" w:cs="宋体"/>
                <w:kern w:val="0"/>
                <w:sz w:val="20"/>
                <w:szCs w:val="20"/>
              </w:rPr>
              <w:t>项目于2016年3月开始，计划于2018年5月完工。</w:t>
            </w:r>
          </w:p>
          <w:p>
            <w:pPr>
              <w:tabs>
                <w:tab w:val="left" w:pos="1490"/>
              </w:tabs>
              <w:rPr>
                <w:rFonts w:ascii="宋体" w:hAnsi="宋体" w:cs="宋体"/>
                <w:sz w:val="20"/>
                <w:szCs w:val="20"/>
              </w:rPr>
            </w:pP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p>
          <w:p>
            <w:pPr>
              <w:widowControl/>
              <w:jc w:val="left"/>
              <w:rPr>
                <w:rFonts w:ascii="宋体" w:hAnsi="宋体" w:cs="宋体"/>
                <w:kern w:val="0"/>
                <w:sz w:val="20"/>
                <w:szCs w:val="20"/>
              </w:rPr>
            </w:pPr>
            <w:r>
              <w:rPr>
                <w:rFonts w:hint="eastAsia" w:ascii="宋体" w:hAnsi="宋体" w:cs="宋体"/>
                <w:kern w:val="0"/>
                <w:sz w:val="20"/>
                <w:szCs w:val="20"/>
              </w:rPr>
              <w:t>全县843眼机电井全部安装了无线超声波水表以及配套附件、动力电缆以及水表防护箱；刷卡缴费管理软件1套；机电井信息化监控管理软件1套；服务器1台；不间断电源1套。2018年增加24眼机井智能表安装。</w:t>
            </w:r>
          </w:p>
          <w:p>
            <w:pPr>
              <w:widowControl/>
              <w:jc w:val="left"/>
              <w:rPr>
                <w:rFonts w:ascii="宋体" w:hAnsi="宋体" w:cs="宋体"/>
                <w:sz w:val="20"/>
                <w:szCs w:val="20"/>
              </w:rPr>
            </w:pP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指标1：843台无线超声波水表以及配套安装附件及水表防护箱</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843套</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843套</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指标2：采购刷卡缴费管理软件1套</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1套</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1套</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指标3：机电井信息化监控管理软件1套</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1套</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1套</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指标4：服务器1台</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指标5：不间断电源</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1套</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1套</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指标1：工程验收合格率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指标1：完成时限</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2018年12月31日</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2018年12月31日</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指标1：财政投资</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74.5万元</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74.5万元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指标1：节约地下水资源利用率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显著提升</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显著提升</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指标1：有效管理地下水资源，确保地下水资源的合理开发利用</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长期</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长期</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指标1：水资源管理人员满意度</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≥95%</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≥95%</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24291"/>
    <w:rsid w:val="000526E6"/>
    <w:rsid w:val="00056465"/>
    <w:rsid w:val="00060F6C"/>
    <w:rsid w:val="00121AE4"/>
    <w:rsid w:val="00143D72"/>
    <w:rsid w:val="00146AAD"/>
    <w:rsid w:val="001B3A40"/>
    <w:rsid w:val="0026654B"/>
    <w:rsid w:val="002B171F"/>
    <w:rsid w:val="0031062F"/>
    <w:rsid w:val="0031530D"/>
    <w:rsid w:val="00317E52"/>
    <w:rsid w:val="003C18BC"/>
    <w:rsid w:val="003E3139"/>
    <w:rsid w:val="00413F20"/>
    <w:rsid w:val="00422EE1"/>
    <w:rsid w:val="004366A8"/>
    <w:rsid w:val="00464900"/>
    <w:rsid w:val="00502BA7"/>
    <w:rsid w:val="005162F1"/>
    <w:rsid w:val="00535153"/>
    <w:rsid w:val="00554F82"/>
    <w:rsid w:val="0056390D"/>
    <w:rsid w:val="00565078"/>
    <w:rsid w:val="005719B0"/>
    <w:rsid w:val="00591EFF"/>
    <w:rsid w:val="0059314F"/>
    <w:rsid w:val="005C67EE"/>
    <w:rsid w:val="005D10D6"/>
    <w:rsid w:val="0063364F"/>
    <w:rsid w:val="00644272"/>
    <w:rsid w:val="00655B46"/>
    <w:rsid w:val="0069297B"/>
    <w:rsid w:val="006F6783"/>
    <w:rsid w:val="007236A0"/>
    <w:rsid w:val="007342F0"/>
    <w:rsid w:val="0078046E"/>
    <w:rsid w:val="007806A5"/>
    <w:rsid w:val="00820107"/>
    <w:rsid w:val="00855E3A"/>
    <w:rsid w:val="00922CB9"/>
    <w:rsid w:val="0094605D"/>
    <w:rsid w:val="00987791"/>
    <w:rsid w:val="009E5CD9"/>
    <w:rsid w:val="00A167DA"/>
    <w:rsid w:val="00A26421"/>
    <w:rsid w:val="00A4293B"/>
    <w:rsid w:val="00A52CCC"/>
    <w:rsid w:val="00A67D50"/>
    <w:rsid w:val="00A8691A"/>
    <w:rsid w:val="00AB3379"/>
    <w:rsid w:val="00AC1946"/>
    <w:rsid w:val="00AC343B"/>
    <w:rsid w:val="00AF626B"/>
    <w:rsid w:val="00B40063"/>
    <w:rsid w:val="00B41F61"/>
    <w:rsid w:val="00B71497"/>
    <w:rsid w:val="00BA46E6"/>
    <w:rsid w:val="00C56C72"/>
    <w:rsid w:val="00CA255D"/>
    <w:rsid w:val="00CA6457"/>
    <w:rsid w:val="00CC777D"/>
    <w:rsid w:val="00CF658D"/>
    <w:rsid w:val="00D000AF"/>
    <w:rsid w:val="00D17F2E"/>
    <w:rsid w:val="00D30354"/>
    <w:rsid w:val="00D54624"/>
    <w:rsid w:val="00D87ACE"/>
    <w:rsid w:val="00DB7DC5"/>
    <w:rsid w:val="00DC6087"/>
    <w:rsid w:val="00DF42A0"/>
    <w:rsid w:val="00E46C51"/>
    <w:rsid w:val="00E769FE"/>
    <w:rsid w:val="00E934A1"/>
    <w:rsid w:val="00EA2CBE"/>
    <w:rsid w:val="00F146E5"/>
    <w:rsid w:val="00F32FEE"/>
    <w:rsid w:val="00F5179A"/>
    <w:rsid w:val="00FB10BB"/>
    <w:rsid w:val="00FC40CE"/>
    <w:rsid w:val="00FD023E"/>
    <w:rsid w:val="020B1B83"/>
    <w:rsid w:val="02E14C54"/>
    <w:rsid w:val="0DD06A45"/>
    <w:rsid w:val="2FAC17C9"/>
    <w:rsid w:val="3AFE072A"/>
    <w:rsid w:val="3FA14878"/>
    <w:rsid w:val="553C40C4"/>
    <w:rsid w:val="5BE84BBF"/>
    <w:rsid w:val="63C42FF6"/>
    <w:rsid w:val="69E622D0"/>
    <w:rsid w:val="789C76E7"/>
    <w:rsid w:val="7C064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customStyle="1" w:styleId="31">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引用1"/>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customStyle="1" w:styleId="35">
    <w:name w:val="明显引用1"/>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41E042-59E5-4905-B7E7-2769BDCDAB53}">
  <ds:schemaRefs/>
</ds:datastoreItem>
</file>

<file path=docProps/app.xml><?xml version="1.0" encoding="utf-8"?>
<Properties xmlns="http://schemas.openxmlformats.org/officeDocument/2006/extended-properties" xmlns:vt="http://schemas.openxmlformats.org/officeDocument/2006/docPropsVTypes">
  <Template>Normal</Template>
  <Pages>1</Pages>
  <Words>395</Words>
  <Characters>2255</Characters>
  <Lines>18</Lines>
  <Paragraphs>5</Paragraphs>
  <TotalTime>1</TotalTime>
  <ScaleCrop>false</ScaleCrop>
  <LinksUpToDate>false</LinksUpToDate>
  <CharactersWithSpaces>2645</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2024-03-28T09:26:44Z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