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项目名称：互联网监控费用</w:t>
      </w: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玛纳斯县委网信办</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中共玛纳斯县网络安全和信息化工作委员会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0"/>
          <w:szCs w:val="30"/>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hint="eastAsia" w:ascii="仿宋" w:hAnsi="仿宋" w:eastAsia="仿宋" w:cs="Times New Roman"/>
          <w:b w:val="0"/>
          <w:spacing w:val="-4"/>
          <w:sz w:val="32"/>
          <w:szCs w:val="32"/>
        </w:rPr>
      </w:pPr>
      <w:r>
        <w:rPr>
          <w:rStyle w:val="18"/>
          <w:rFonts w:hint="eastAsia" w:ascii="仿宋" w:hAnsi="仿宋" w:eastAsia="仿宋" w:cs="Times New Roman"/>
          <w:b w:val="0"/>
          <w:spacing w:val="-4"/>
          <w:sz w:val="32"/>
          <w:szCs w:val="32"/>
          <w:lang w:val="en-US" w:eastAsia="zh-CN"/>
        </w:rPr>
        <w:t>玛纳斯县委网信办主要负责全县网络信息安全协调工作，统筹协调全县网络安全保障体系建设，负责协调处理涉玛网络安全重大突发事件及相关应急工作；贯彻落实中央关于新疆网络宣传和网络舆论斗争工作部署；负责指导协调全县网络舆情信息工作，组织开展涉玛网络舆情信息发现、收集、分析和研判工作，跟踪了解掌握网络舆情动态，依法规范互联网舆情服务市场。2018年，我办共有工作人员12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预期目标及阶段性目标：2018年是网信工作的“巩固提升年”，县委网信办紧紧围绕新疆工作总目标，按照陈全国书记对网信工作提出的“四点要求”和“七点指示”，严格落实网络意识形态领域工作责任制，紧紧抓住“确保网络绝对安全”这个核心目标不动摇，确保涉玛网络空间更加清朗。该项目运行期间，确保涉玛舆情能够及时发现，不漏报、不错报，为后期研判处置提供有力保障；确保及时发现涉昌涉疆有害信息，为各类专项工作提供依据。</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项目基本性质:强化属地舆情发现能力，有效维护属地网络空间安全，着力提高网络应急管理处置能力，有效引导网上舆论，不断提升网信工作的有效性。</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用途:主要用于涉玛舆情的监测。</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主要内容、涉及范围：内容包括关键词管理、全网舆情监测、舆情智能预警、舆情分析、全网搜索等，涉及网站、微博、公众号、博客、视频、论坛、客户端、外媒等互联网平台。</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Style w:val="18"/>
          <w:rFonts w:hint="default"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本单位2018年互联网监控费</w:t>
      </w:r>
      <w:r>
        <w:rPr>
          <w:rStyle w:val="18"/>
          <w:rFonts w:hint="eastAsia" w:ascii="仿宋" w:hAnsi="仿宋" w:eastAsia="仿宋" w:cs="Times New Roman"/>
          <w:b w:val="0"/>
          <w:bCs/>
          <w:spacing w:val="-4"/>
          <w:sz w:val="32"/>
          <w:szCs w:val="32"/>
          <w:lang w:val="en-US" w:eastAsia="zh-CN"/>
        </w:rPr>
        <w:t>用</w:t>
      </w:r>
      <w:r>
        <w:rPr>
          <w:rStyle w:val="18"/>
          <w:rFonts w:hint="eastAsia" w:ascii="楷体" w:hAnsi="楷体" w:eastAsia="楷体"/>
          <w:b w:val="0"/>
          <w:bCs/>
          <w:spacing w:val="-4"/>
          <w:sz w:val="32"/>
          <w:szCs w:val="32"/>
        </w:rPr>
        <w:t>安排落实</w:t>
      </w:r>
      <w:r>
        <w:rPr>
          <w:rStyle w:val="18"/>
          <w:rFonts w:hint="eastAsia" w:ascii="楷体" w:hAnsi="楷体" w:eastAsia="楷体"/>
          <w:b w:val="0"/>
          <w:bCs/>
          <w:spacing w:val="-4"/>
          <w:sz w:val="32"/>
          <w:szCs w:val="32"/>
          <w:lang w:eastAsia="zh-CN"/>
        </w:rPr>
        <w:t>资金</w:t>
      </w:r>
      <w:r>
        <w:rPr>
          <w:rStyle w:val="18"/>
          <w:rFonts w:hint="eastAsia" w:ascii="仿宋" w:hAnsi="仿宋" w:eastAsia="仿宋" w:cs="Times New Roman"/>
          <w:b w:val="0"/>
          <w:spacing w:val="-4"/>
          <w:sz w:val="32"/>
          <w:szCs w:val="32"/>
          <w:lang w:val="en-US" w:eastAsia="zh-CN"/>
        </w:rPr>
        <w:t>3.83万元，</w:t>
      </w:r>
      <w:r>
        <w:rPr>
          <w:rStyle w:val="18"/>
          <w:rFonts w:hint="eastAsia" w:ascii="仿宋" w:hAnsi="仿宋" w:eastAsia="仿宋"/>
          <w:b w:val="0"/>
          <w:spacing w:val="-4"/>
          <w:sz w:val="32"/>
          <w:szCs w:val="32"/>
          <w:lang w:val="en-US" w:eastAsia="zh-CN"/>
        </w:rPr>
        <w:t>县本级财政配套3.83万元，资金到位率100%。2018年总投资3.83万元，资金投入率100%。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2018年项目实际使用3.83万元，均为本级财政资金，资金在2018年全部到位，主要用于网络运行及网络管理保障。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b w:val="0"/>
          <w:spacing w:val="-4"/>
          <w:sz w:val="32"/>
          <w:szCs w:val="32"/>
        </w:rPr>
        <w:t>管理制度、办法的制定</w:t>
      </w:r>
      <w:r>
        <w:rPr>
          <w:rStyle w:val="18"/>
          <w:rFonts w:hint="eastAsia" w:ascii="仿宋" w:hAnsi="仿宋" w:eastAsia="仿宋"/>
          <w:b w:val="0"/>
          <w:spacing w:val="-4"/>
          <w:sz w:val="32"/>
          <w:szCs w:val="32"/>
          <w:lang w:eastAsia="zh-CN"/>
        </w:rPr>
        <w:t>：</w:t>
      </w:r>
      <w:r>
        <w:rPr>
          <w:rStyle w:val="18"/>
          <w:rFonts w:hint="eastAsia" w:ascii="仿宋" w:hAnsi="仿宋" w:eastAsia="仿宋" w:cs="Times New Roman"/>
          <w:b w:val="0"/>
          <w:spacing w:val="-4"/>
          <w:sz w:val="32"/>
          <w:szCs w:val="32"/>
          <w:lang w:val="en-US" w:eastAsia="zh-CN"/>
        </w:rPr>
        <w:t>办公室制定了该项目经费管理办法，项目经费严格按照单位的财务制度和预算支出范围使用。</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b w:val="0"/>
          <w:spacing w:val="-4"/>
          <w:sz w:val="32"/>
          <w:szCs w:val="32"/>
        </w:rPr>
        <w:t>执行情况</w:t>
      </w:r>
      <w:r>
        <w:rPr>
          <w:rStyle w:val="18"/>
          <w:rFonts w:hint="eastAsia" w:ascii="仿宋" w:hAnsi="仿宋" w:eastAsia="仿宋"/>
          <w:b w:val="0"/>
          <w:spacing w:val="-4"/>
          <w:sz w:val="32"/>
          <w:szCs w:val="32"/>
          <w:lang w:val="en-US" w:eastAsia="zh-CN"/>
        </w:rPr>
        <w:t>：</w:t>
      </w:r>
      <w:r>
        <w:rPr>
          <w:rStyle w:val="18"/>
          <w:rFonts w:hint="eastAsia" w:ascii="仿宋" w:hAnsi="仿宋" w:eastAsia="仿宋" w:cs="Times New Roman"/>
          <w:b w:val="0"/>
          <w:spacing w:val="-4"/>
          <w:sz w:val="32"/>
          <w:szCs w:val="32"/>
          <w:lang w:val="en-US" w:eastAsia="zh-CN"/>
        </w:rPr>
        <w:t>按照项目计划安排和实际工作情况开支，经费均按照有关文件、通知精神执行。资金主要用于网络运行及网络管理保障。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4" w:firstLineChars="181"/>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rPr>
        <w:t>项目投标情况</w:t>
      </w:r>
      <w:r>
        <w:rPr>
          <w:rStyle w:val="18"/>
          <w:rFonts w:hint="eastAsia" w:ascii="仿宋" w:hAnsi="仿宋" w:eastAsia="仿宋"/>
          <w:b w:val="0"/>
          <w:spacing w:val="-4"/>
          <w:sz w:val="32"/>
          <w:szCs w:val="32"/>
          <w:lang w:eastAsia="zh-CN"/>
        </w:rPr>
        <w:t>：软件为专业软件，无法实施政府采购，故实施自行采购。</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调整情况：2018年项目资金无调整情况。</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验收情况：2018年，县委网信办借助互联网舆情监测平台，实行24小时全网全时段在线监测，对网上出现的违法和不良信息，做到第一时间发现，第一时间处置。同时，通过建立网络舆情信息日报制度，舆情信息周研报制度，及时做好重要节点和敏感时期的舆论管控，全方位做好网上舆情搜集、研判、处置等工作。经费均按照有关文件、通知精神执行，主要用于网络运行及网络管理保障。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b w:val="0"/>
          <w:spacing w:val="-4"/>
          <w:sz w:val="32"/>
          <w:szCs w:val="32"/>
        </w:rPr>
        <w:t>项目管理制度建设</w:t>
      </w:r>
      <w:r>
        <w:rPr>
          <w:rStyle w:val="18"/>
          <w:rFonts w:hint="eastAsia" w:ascii="仿宋" w:hAnsi="仿宋" w:eastAsia="仿宋"/>
          <w:b w:val="0"/>
          <w:spacing w:val="-4"/>
          <w:sz w:val="32"/>
          <w:szCs w:val="32"/>
          <w:lang w:eastAsia="zh-CN"/>
        </w:rPr>
        <w:t>：</w:t>
      </w:r>
      <w:r>
        <w:rPr>
          <w:rStyle w:val="18"/>
          <w:rFonts w:hint="eastAsia" w:ascii="仿宋" w:hAnsi="仿宋" w:eastAsia="仿宋" w:cs="Times New Roman"/>
          <w:b w:val="0"/>
          <w:spacing w:val="-4"/>
          <w:sz w:val="32"/>
          <w:szCs w:val="32"/>
          <w:lang w:val="en-US" w:eastAsia="zh-CN"/>
        </w:rPr>
        <w:t>办公室制定了该项目经费管理办法，项目经费严格按照单位的财务制度和预算支出范围使用。</w:t>
      </w:r>
    </w:p>
    <w:p>
      <w:pPr>
        <w:spacing w:line="540" w:lineRule="exact"/>
        <w:ind w:firstLine="564" w:firstLineChars="181"/>
        <w:rPr>
          <w:rStyle w:val="18"/>
          <w:rFonts w:hint="eastAsia" w:ascii="仿宋" w:hAnsi="仿宋" w:eastAsia="仿宋" w:cs="Times New Roman"/>
          <w:b w:val="0"/>
          <w:spacing w:val="-4"/>
          <w:sz w:val="32"/>
          <w:szCs w:val="32"/>
          <w:lang w:val="en-US" w:eastAsia="zh-CN"/>
        </w:rPr>
      </w:pPr>
      <w:r>
        <w:rPr>
          <w:rStyle w:val="18"/>
          <w:rFonts w:hint="eastAsia" w:ascii="仿宋" w:hAnsi="仿宋" w:eastAsia="仿宋"/>
          <w:b w:val="0"/>
          <w:spacing w:val="-4"/>
          <w:sz w:val="32"/>
          <w:szCs w:val="32"/>
        </w:rPr>
        <w:t>日常检查监督管理</w:t>
      </w:r>
      <w:r>
        <w:rPr>
          <w:rStyle w:val="18"/>
          <w:rFonts w:hint="eastAsia" w:ascii="仿宋" w:hAnsi="仿宋" w:eastAsia="仿宋"/>
          <w:b w:val="0"/>
          <w:spacing w:val="-4"/>
          <w:sz w:val="32"/>
          <w:szCs w:val="32"/>
          <w:lang w:eastAsia="zh-CN"/>
        </w:rPr>
        <w:t>：</w:t>
      </w:r>
      <w:r>
        <w:rPr>
          <w:rStyle w:val="18"/>
          <w:rFonts w:hint="eastAsia" w:ascii="仿宋" w:hAnsi="仿宋" w:eastAsia="仿宋" w:cs="Times New Roman"/>
          <w:b w:val="0"/>
          <w:spacing w:val="-4"/>
          <w:sz w:val="32"/>
          <w:szCs w:val="32"/>
          <w:lang w:val="en-US" w:eastAsia="zh-CN"/>
        </w:rPr>
        <w:t>努力用好每一分钱，办好每一件事，不断提高涉玛舆情的发现能力，扎实推进网络安全和信息化工作，为实现新疆工作总目标提供了坚强的网络安全保障，为全县营造了良好的网上舆论氛围，提供有力的网络安全保障。</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hint="eastAsia" w:ascii="仿宋" w:hAnsi="仿宋" w:eastAsia="仿宋" w:cs="Times New Roman"/>
          <w:b w:val="0"/>
          <w:spacing w:val="-4"/>
          <w:sz w:val="32"/>
          <w:szCs w:val="32"/>
          <w:highlight w:val="none"/>
          <w:lang w:val="en-US" w:eastAsia="zh-CN"/>
        </w:rPr>
      </w:pPr>
      <w:r>
        <w:rPr>
          <w:rStyle w:val="18"/>
          <w:rFonts w:hint="eastAsia" w:ascii="仿宋" w:hAnsi="仿宋" w:eastAsia="仿宋" w:cs="Times New Roman"/>
          <w:b w:val="0"/>
          <w:spacing w:val="-4"/>
          <w:sz w:val="32"/>
          <w:szCs w:val="32"/>
          <w:highlight w:val="none"/>
          <w:lang w:val="en-US" w:eastAsia="zh-CN"/>
        </w:rPr>
        <w:t>项目完成情况：该项目着力维护网络意识形态安全，着力提高网络应急管理处置能力，有效引导网上舆论，不断提升网信工作的有效性，为全县营造良好的网上舆论氛围，提供有力的网络安全保障。</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hint="eastAsia" w:ascii="仿宋" w:hAnsi="仿宋" w:eastAsia="仿宋" w:cs="Times New Roman"/>
          <w:b w:val="0"/>
          <w:spacing w:val="-4"/>
          <w:sz w:val="32"/>
          <w:szCs w:val="32"/>
          <w:highlight w:val="none"/>
          <w:lang w:val="en-US" w:eastAsia="zh-CN"/>
        </w:rPr>
      </w:pPr>
      <w:r>
        <w:rPr>
          <w:rStyle w:val="18"/>
          <w:rFonts w:hint="eastAsia" w:ascii="仿宋" w:hAnsi="仿宋" w:eastAsia="仿宋" w:cs="Times New Roman"/>
          <w:b w:val="0"/>
          <w:spacing w:val="-4"/>
          <w:sz w:val="32"/>
          <w:szCs w:val="32"/>
          <w:highlight w:val="none"/>
          <w:lang w:val="en-US" w:eastAsia="zh-CN"/>
        </w:rPr>
        <w:t>效率性：截至目前</w:t>
      </w:r>
      <w:bookmarkStart w:id="0" w:name="_GoBack"/>
      <w:bookmarkEnd w:id="0"/>
      <w:r>
        <w:rPr>
          <w:rStyle w:val="18"/>
          <w:rFonts w:hint="eastAsia" w:ascii="仿宋" w:hAnsi="仿宋" w:eastAsia="仿宋" w:cs="Times New Roman"/>
          <w:b w:val="0"/>
          <w:spacing w:val="-4"/>
          <w:sz w:val="32"/>
          <w:szCs w:val="32"/>
          <w:highlight w:val="none"/>
          <w:lang w:val="en-US" w:eastAsia="zh-CN"/>
        </w:rPr>
        <w:t>，发现涉玛舆情145条，对全县网站进行网络安全监测个数21个，涉玛舆情发现处置率100%，预算执行率100%。</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hint="eastAsia" w:ascii="仿宋" w:hAnsi="仿宋" w:eastAsia="仿宋" w:cs="Times New Roman"/>
          <w:b w:val="0"/>
          <w:spacing w:val="-4"/>
          <w:sz w:val="32"/>
          <w:szCs w:val="32"/>
          <w:highlight w:val="yellow"/>
          <w:lang w:val="en-US" w:eastAsia="zh-CN"/>
        </w:rPr>
      </w:pPr>
      <w:r>
        <w:rPr>
          <w:rStyle w:val="18"/>
          <w:rFonts w:hint="eastAsia" w:ascii="仿宋" w:hAnsi="仿宋" w:eastAsia="仿宋"/>
          <w:b w:val="0"/>
          <w:spacing w:val="-4"/>
          <w:sz w:val="32"/>
          <w:szCs w:val="32"/>
        </w:rPr>
        <w:t>有益性</w:t>
      </w:r>
      <w:r>
        <w:rPr>
          <w:rStyle w:val="18"/>
          <w:rFonts w:hint="eastAsia" w:ascii="仿宋" w:hAnsi="仿宋" w:eastAsia="仿宋"/>
          <w:b w:val="0"/>
          <w:spacing w:val="-4"/>
          <w:sz w:val="32"/>
          <w:szCs w:val="32"/>
          <w:lang w:eastAsia="zh-CN"/>
        </w:rPr>
        <w:t>：</w:t>
      </w:r>
      <w:r>
        <w:rPr>
          <w:rStyle w:val="18"/>
          <w:rFonts w:hint="eastAsia" w:ascii="仿宋" w:hAnsi="仿宋" w:eastAsia="仿宋" w:cs="Times New Roman"/>
          <w:b w:val="0"/>
          <w:spacing w:val="-4"/>
          <w:sz w:val="32"/>
          <w:szCs w:val="32"/>
          <w:highlight w:val="none"/>
          <w:lang w:val="en-US" w:eastAsia="zh-CN"/>
        </w:rPr>
        <w:t>该项目</w:t>
      </w:r>
      <w:r>
        <w:rPr>
          <w:rStyle w:val="18"/>
          <w:rFonts w:hint="eastAsia" w:ascii="仿宋" w:hAnsi="仿宋" w:eastAsia="仿宋"/>
          <w:b w:val="0"/>
          <w:spacing w:val="-4"/>
          <w:sz w:val="32"/>
          <w:szCs w:val="32"/>
          <w:lang w:eastAsia="zh-CN"/>
        </w:rPr>
        <w:t>为我县社会经济发展和生态环境建设营造良好舆论环境，</w:t>
      </w:r>
      <w:r>
        <w:rPr>
          <w:rStyle w:val="18"/>
          <w:rFonts w:hint="eastAsia" w:ascii="仿宋" w:hAnsi="仿宋" w:eastAsia="仿宋" w:cs="Times New Roman"/>
          <w:b w:val="0"/>
          <w:spacing w:val="-4"/>
          <w:sz w:val="32"/>
          <w:szCs w:val="32"/>
          <w:highlight w:val="none"/>
          <w:lang w:val="en-US" w:eastAsia="zh-CN"/>
        </w:rPr>
        <w:t>我县辖区范围内基本实现网络空间风清气正，网络舆情平稳可控，网络安全保障，消除安全隐患。</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hint="eastAsia" w:ascii="仿宋" w:hAnsi="仿宋" w:eastAsia="仿宋" w:cs="Times New Roman"/>
          <w:b w:val="0"/>
          <w:spacing w:val="-4"/>
          <w:sz w:val="32"/>
          <w:szCs w:val="32"/>
          <w:highlight w:val="none"/>
          <w:lang w:val="en-US" w:eastAsia="zh-CN"/>
        </w:rPr>
      </w:pPr>
      <w:r>
        <w:rPr>
          <w:rStyle w:val="18"/>
          <w:rFonts w:hint="eastAsia" w:ascii="仿宋" w:hAnsi="仿宋" w:eastAsia="仿宋"/>
          <w:b w:val="0"/>
          <w:spacing w:val="-4"/>
          <w:sz w:val="32"/>
          <w:szCs w:val="32"/>
        </w:rPr>
        <w:t>可持续性</w:t>
      </w:r>
      <w:r>
        <w:rPr>
          <w:rStyle w:val="18"/>
          <w:rFonts w:hint="eastAsia" w:ascii="仿宋" w:hAnsi="仿宋" w:eastAsia="仿宋"/>
          <w:b w:val="0"/>
          <w:spacing w:val="-4"/>
          <w:sz w:val="32"/>
          <w:szCs w:val="32"/>
          <w:lang w:eastAsia="zh-CN"/>
        </w:rPr>
        <w:t>：</w:t>
      </w:r>
      <w:r>
        <w:rPr>
          <w:rStyle w:val="18"/>
          <w:rFonts w:hint="eastAsia" w:ascii="仿宋" w:hAnsi="仿宋" w:eastAsia="仿宋" w:cs="Times New Roman"/>
          <w:b w:val="0"/>
          <w:spacing w:val="-4"/>
          <w:sz w:val="32"/>
          <w:szCs w:val="32"/>
          <w:highlight w:val="none"/>
          <w:lang w:val="en-US" w:eastAsia="zh-CN"/>
        </w:rPr>
        <w:t>该项目为软件年使用费，</w:t>
      </w:r>
      <w:r>
        <w:rPr>
          <w:rStyle w:val="18"/>
          <w:rFonts w:hint="eastAsia" w:ascii="仿宋" w:hAnsi="仿宋" w:eastAsia="仿宋" w:cs="Times New Roman"/>
          <w:b w:val="0"/>
          <w:spacing w:val="-4"/>
          <w:sz w:val="32"/>
          <w:szCs w:val="32"/>
          <w:lang w:val="en-US" w:eastAsia="zh-CN"/>
        </w:rPr>
        <w:t>对网上出现的违法和不良信息，做到第一时间发现，第一时间处置，有力保障属地网络内容安全。</w:t>
      </w:r>
      <w:r>
        <w:rPr>
          <w:rStyle w:val="18"/>
          <w:rFonts w:hint="eastAsia" w:ascii="仿宋" w:hAnsi="仿宋" w:eastAsia="仿宋" w:cs="Times New Roman"/>
          <w:b w:val="0"/>
          <w:spacing w:val="-4"/>
          <w:sz w:val="32"/>
          <w:szCs w:val="32"/>
          <w:highlight w:val="none"/>
          <w:lang w:val="en-US" w:eastAsia="zh-CN"/>
        </w:rPr>
        <w:t>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已完成绩效目标。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充分发挥监测软件全网监测作用，继续加大对涉玛舆情的发现力度，发现一起，处置一起，及时消除网上负面影响，阻止涉玛舆情在网上扩散发酵，确保我县辖区范围内网络空间风清气正。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hint="eastAsia" w:ascii="仿宋" w:hAnsi="仿宋" w:eastAsia="仿宋" w:cs="Times New Roman"/>
          <w:b w:val="0"/>
          <w:spacing w:val="-4"/>
          <w:sz w:val="32"/>
          <w:szCs w:val="32"/>
          <w:lang w:val="en-US" w:eastAsia="zh-CN"/>
        </w:rPr>
      </w:pPr>
      <w:r>
        <w:rPr>
          <w:rFonts w:hint="eastAsia" w:ascii="仿宋_GB2312" w:eastAsia="仿宋_GB2312"/>
          <w:spacing w:val="-4"/>
          <w:sz w:val="32"/>
          <w:szCs w:val="32"/>
        </w:rPr>
        <w:t>资金安排、使用过程中的经验、做法</w:t>
      </w:r>
      <w:r>
        <w:rPr>
          <w:rFonts w:hint="eastAsia" w:ascii="仿宋_GB2312" w:eastAsia="仿宋_GB2312"/>
          <w:spacing w:val="-4"/>
          <w:sz w:val="32"/>
          <w:szCs w:val="32"/>
          <w:lang w:eastAsia="zh-CN"/>
        </w:rPr>
        <w:t>：</w:t>
      </w:r>
      <w:r>
        <w:rPr>
          <w:rStyle w:val="18"/>
          <w:rFonts w:hint="eastAsia" w:ascii="仿宋" w:hAnsi="仿宋" w:eastAsia="仿宋" w:cs="Times New Roman"/>
          <w:b w:val="0"/>
          <w:spacing w:val="-4"/>
          <w:sz w:val="32"/>
          <w:szCs w:val="32"/>
          <w:lang w:val="en-US" w:eastAsia="zh-CN"/>
        </w:rPr>
        <w:t>县委网信办按照相应的资金使用与管理办法，明确工作思路、发展重点、工作进度安排、分阶段考核指标以及资金使用方向，严格按照经费使用计划和项目推进的状况，合理使用经费，县委网信办将按照自治区党委陈全国书记关于确保互联网和意识形态领域安全的重要指示精神，全面提高网络安全保障能力，为实现社会稳定和长治久安总目标提供更加坚强有力的保障。</w:t>
      </w:r>
    </w:p>
    <w:p>
      <w:pPr>
        <w:spacing w:line="540" w:lineRule="exact"/>
        <w:ind w:firstLine="564" w:firstLineChars="181"/>
        <w:rPr>
          <w:rFonts w:hint="eastAsia" w:ascii="楷体" w:hAnsi="楷体" w:eastAsia="仿宋_GB2312"/>
          <w:b/>
          <w:spacing w:val="-4"/>
          <w:sz w:val="32"/>
          <w:szCs w:val="32"/>
          <w:lang w:eastAsia="zh-CN"/>
        </w:rPr>
      </w:pPr>
      <w:r>
        <w:rPr>
          <w:rFonts w:hint="eastAsia" w:ascii="仿宋_GB2312" w:eastAsia="仿宋_GB2312"/>
          <w:spacing w:val="-4"/>
          <w:sz w:val="32"/>
          <w:szCs w:val="32"/>
        </w:rPr>
        <w:t>存在问题、改进措施和有关建议</w:t>
      </w:r>
      <w:r>
        <w:rPr>
          <w:rFonts w:hint="eastAsia" w:ascii="仿宋_GB2312" w:eastAsia="仿宋_GB2312"/>
          <w:spacing w:val="-4"/>
          <w:sz w:val="32"/>
          <w:szCs w:val="32"/>
          <w:lang w:eastAsia="zh-CN"/>
        </w:rPr>
        <w:t>：加强学习和培训，挖掘软件的功能和潜力，发挥软件最大效率；与软件开发技术人员交流使用心得，促进软件功能更趋完善。</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在项目实施前经过充分论证，项目实施过程中严格管理，项目结束后继续跟踪项目效果，做好项目各项手续、财务管理、项目实施等工作。通过提升舆情发现能力，加强网信行政执法能力建设。建立权责明确、监督有效和保障有力的县级网信行政执法管理体制，不断提高执法机构规范化执法水平，完善执法制度机制，确保网络空间清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snapToGrid/>
        <w:spacing w:line="500" w:lineRule="exact"/>
        <w:ind w:firstLine="564" w:firstLineChars="181"/>
        <w:textAlignment w:val="auto"/>
        <w:rPr>
          <w:rStyle w:val="18"/>
          <w:rFonts w:ascii="仿宋" w:hAnsi="仿宋" w:eastAsia="仿宋"/>
          <w:b w:val="0"/>
          <w:spacing w:val="-4"/>
          <w:sz w:val="32"/>
          <w:szCs w:val="32"/>
        </w:rPr>
      </w:pPr>
      <w:r>
        <w:rPr>
          <w:rStyle w:val="18"/>
          <w:rFonts w:hint="eastAsia" w:ascii="仿宋" w:hAnsi="仿宋" w:eastAsia="仿宋" w:cs="Times New Roman"/>
          <w:b w:val="0"/>
          <w:spacing w:val="-4"/>
          <w:sz w:val="32"/>
          <w:szCs w:val="32"/>
          <w:lang w:val="en-US" w:eastAsia="zh-CN"/>
        </w:rPr>
        <w:t>《玛纳斯县财政项目支出绩效自评表》</w:t>
      </w:r>
    </w:p>
    <w:tbl>
      <w:tblPr>
        <w:tblStyle w:val="16"/>
        <w:tblW w:w="9040" w:type="dxa"/>
        <w:tblInd w:w="93" w:type="dxa"/>
        <w:tblLayout w:type="fixed"/>
        <w:tblCellMar>
          <w:top w:w="0" w:type="dxa"/>
          <w:left w:w="108" w:type="dxa"/>
          <w:bottom w:w="0" w:type="dxa"/>
          <w:right w:w="108" w:type="dxa"/>
        </w:tblCellMar>
      </w:tblPr>
      <w:tblGrid>
        <w:gridCol w:w="722"/>
        <w:gridCol w:w="1143"/>
        <w:gridCol w:w="1362"/>
        <w:gridCol w:w="1"/>
        <w:gridCol w:w="1963"/>
        <w:gridCol w:w="2065"/>
        <w:gridCol w:w="1784"/>
      </w:tblGrid>
      <w:tr>
        <w:tblPrEx>
          <w:tblLayout w:type="fixed"/>
          <w:tblCellMar>
            <w:top w:w="0" w:type="dxa"/>
            <w:left w:w="108" w:type="dxa"/>
            <w:bottom w:w="0" w:type="dxa"/>
            <w:right w:w="108" w:type="dxa"/>
          </w:tblCellMar>
        </w:tblPrEx>
        <w:trPr>
          <w:trHeight w:val="534" w:hRule="atLeast"/>
        </w:trPr>
        <w:tc>
          <w:tcPr>
            <w:tcW w:w="904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308" w:hRule="atLeast"/>
        </w:trPr>
        <w:tc>
          <w:tcPr>
            <w:tcW w:w="904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424" w:hRule="atLeast"/>
        </w:trPr>
        <w:tc>
          <w:tcPr>
            <w:tcW w:w="32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81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互联网监控费用　</w:t>
            </w:r>
          </w:p>
        </w:tc>
      </w:tr>
      <w:tr>
        <w:tblPrEx>
          <w:tblLayout w:type="fixed"/>
          <w:tblCellMar>
            <w:top w:w="0" w:type="dxa"/>
            <w:left w:w="108" w:type="dxa"/>
            <w:bottom w:w="0" w:type="dxa"/>
            <w:right w:w="108" w:type="dxa"/>
          </w:tblCellMar>
        </w:tblPrEx>
        <w:trPr>
          <w:trHeight w:val="439" w:hRule="atLeast"/>
        </w:trPr>
        <w:tc>
          <w:tcPr>
            <w:tcW w:w="32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813"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玛纳斯县委网信办</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69" w:hRule="atLeast"/>
        </w:trPr>
        <w:tc>
          <w:tcPr>
            <w:tcW w:w="72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50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19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cs="宋体"/>
                <w:kern w:val="0"/>
                <w:sz w:val="20"/>
                <w:szCs w:val="20"/>
                <w:lang w:val="en-US" w:eastAsia="zh-CN"/>
              </w:rPr>
              <w:t>3.83万元</w:t>
            </w:r>
            <w:r>
              <w:rPr>
                <w:rFonts w:hint="eastAsia" w:ascii="宋体" w:hAnsi="宋体" w:eastAsia="宋体" w:cs="宋体"/>
                <w:kern w:val="0"/>
                <w:sz w:val="20"/>
                <w:szCs w:val="20"/>
              </w:rPr>
              <w:t>　</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3</w:t>
            </w:r>
            <w:r>
              <w:rPr>
                <w:rFonts w:hint="eastAsia" w:ascii="宋体" w:hAnsi="宋体" w:cs="宋体"/>
                <w:kern w:val="0"/>
                <w:sz w:val="20"/>
                <w:szCs w:val="20"/>
                <w:lang w:val="en-US" w:eastAsia="zh-CN"/>
              </w:rPr>
              <w:t>.83万元</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512" w:hRule="atLeast"/>
        </w:trPr>
        <w:tc>
          <w:tcPr>
            <w:tcW w:w="722"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505"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9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cs="宋体"/>
                <w:kern w:val="0"/>
                <w:sz w:val="20"/>
                <w:szCs w:val="20"/>
                <w:lang w:val="en-US" w:eastAsia="zh-CN"/>
              </w:rPr>
              <w:t>3.83万元</w:t>
            </w:r>
            <w:r>
              <w:rPr>
                <w:rFonts w:hint="eastAsia" w:ascii="宋体" w:hAnsi="宋体" w:eastAsia="宋体" w:cs="宋体"/>
                <w:kern w:val="0"/>
                <w:sz w:val="20"/>
                <w:szCs w:val="20"/>
              </w:rPr>
              <w:t>　</w:t>
            </w:r>
          </w:p>
        </w:tc>
        <w:tc>
          <w:tcPr>
            <w:tcW w:w="2065"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cs="宋体"/>
                <w:kern w:val="0"/>
                <w:sz w:val="20"/>
                <w:szCs w:val="20"/>
                <w:lang w:val="en-US" w:eastAsia="zh-CN"/>
              </w:rPr>
              <w:t>3.83万元</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529" w:hRule="atLeast"/>
        </w:trPr>
        <w:tc>
          <w:tcPr>
            <w:tcW w:w="722"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505"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9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2065"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784"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54" w:hRule="atLeast"/>
        </w:trPr>
        <w:tc>
          <w:tcPr>
            <w:tcW w:w="72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46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1415" w:hRule="atLeast"/>
        </w:trPr>
        <w:tc>
          <w:tcPr>
            <w:tcW w:w="722"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469"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line="240" w:lineRule="exact"/>
              <w:ind w:firstLine="400" w:firstLineChars="200"/>
              <w:jc w:val="center"/>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rPr>
              <w:t>有效引导网上舆论，不断提升网信工作的有效性，为</w:t>
            </w:r>
            <w:r>
              <w:rPr>
                <w:rFonts w:hint="eastAsia" w:ascii="宋体" w:hAnsi="宋体" w:eastAsia="宋体" w:cs="宋体"/>
                <w:kern w:val="0"/>
                <w:sz w:val="20"/>
                <w:szCs w:val="20"/>
                <w:lang w:eastAsia="zh-CN"/>
              </w:rPr>
              <w:t>全县</w:t>
            </w:r>
            <w:r>
              <w:rPr>
                <w:rFonts w:hint="eastAsia" w:ascii="宋体" w:hAnsi="宋体" w:eastAsia="宋体" w:cs="宋体"/>
                <w:kern w:val="0"/>
                <w:sz w:val="20"/>
                <w:szCs w:val="20"/>
              </w:rPr>
              <w:t>营造良好的网上舆论氛围</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提供有力的网络安全保障。</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20"/>
                <w:szCs w:val="20"/>
              </w:rPr>
            </w:pPr>
          </w:p>
        </w:tc>
        <w:tc>
          <w:tcPr>
            <w:tcW w:w="3849"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line="240" w:lineRule="exact"/>
              <w:ind w:left="0" w:leftChars="0" w:firstLine="400" w:firstLineChars="200"/>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着力维护网络意识形态安全，着力提高网络应急管理处置能力，有效引导网上舆论，不断提升网信工作的有效性，为</w:t>
            </w:r>
            <w:r>
              <w:rPr>
                <w:rFonts w:hint="eastAsia" w:ascii="宋体" w:hAnsi="宋体" w:eastAsia="宋体" w:cs="宋体"/>
                <w:kern w:val="0"/>
                <w:sz w:val="20"/>
                <w:szCs w:val="20"/>
                <w:lang w:eastAsia="zh-CN"/>
              </w:rPr>
              <w:t>全县</w:t>
            </w:r>
            <w:r>
              <w:rPr>
                <w:rFonts w:hint="eastAsia" w:ascii="宋体" w:hAnsi="宋体" w:eastAsia="宋体" w:cs="宋体"/>
                <w:kern w:val="0"/>
                <w:sz w:val="20"/>
                <w:szCs w:val="20"/>
              </w:rPr>
              <w:t>营造良好的网上舆论氛围</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提供有力的网络安全保</w:t>
            </w:r>
            <w:r>
              <w:rPr>
                <w:rFonts w:hint="eastAsia" w:ascii="宋体" w:hAnsi="宋体" w:eastAsia="宋体" w:cs="宋体"/>
                <w:color w:val="000000" w:themeColor="text1"/>
                <w:kern w:val="0"/>
                <w:sz w:val="20"/>
                <w:szCs w:val="20"/>
                <w14:textFill>
                  <w14:solidFill>
                    <w14:schemeClr w14:val="tx1"/>
                  </w14:solidFill>
                </w14:textFill>
              </w:rPr>
              <w:t>障</w:t>
            </w:r>
            <w:r>
              <w:rPr>
                <w:rFonts w:hint="eastAsia" w:ascii="宋体" w:hAnsi="宋体" w:eastAsia="宋体" w:cs="宋体"/>
                <w:color w:val="000000" w:themeColor="text1"/>
                <w:sz w:val="32"/>
                <w:szCs w:val="32"/>
                <w14:textFill>
                  <w14:solidFill>
                    <w14:schemeClr w14:val="tx1"/>
                  </w14:solidFill>
                </w14:textFill>
              </w:rPr>
              <w:t>。</w:t>
            </w:r>
          </w:p>
        </w:tc>
      </w:tr>
      <w:tr>
        <w:tblPrEx>
          <w:tblLayout w:type="fixed"/>
          <w:tblCellMar>
            <w:top w:w="0" w:type="dxa"/>
            <w:left w:w="108" w:type="dxa"/>
            <w:bottom w:w="0" w:type="dxa"/>
            <w:right w:w="108" w:type="dxa"/>
          </w:tblCellMar>
        </w:tblPrEx>
        <w:trPr>
          <w:trHeight w:val="933" w:hRule="atLeast"/>
        </w:trPr>
        <w:tc>
          <w:tcPr>
            <w:tcW w:w="72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完成情况</w:t>
            </w:r>
          </w:p>
        </w:tc>
        <w:tc>
          <w:tcPr>
            <w:tcW w:w="1143"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363"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625"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363" w:type="dxa"/>
            <w:gridSpan w:val="2"/>
            <w:vMerge w:val="restart"/>
            <w:tcBorders>
              <w:top w:val="nil"/>
              <w:left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数量指标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指标1：</w:t>
            </w:r>
            <w:r>
              <w:rPr>
                <w:rFonts w:hint="eastAsia" w:ascii="宋体" w:hAnsi="宋体" w:eastAsia="宋体" w:cs="宋体"/>
                <w:color w:val="auto"/>
                <w:kern w:val="0"/>
                <w:sz w:val="20"/>
                <w:szCs w:val="20"/>
                <w:lang w:eastAsia="zh-CN"/>
              </w:rPr>
              <w:t>发现涉玛舆情</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145条</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145条</w:t>
            </w:r>
          </w:p>
        </w:tc>
      </w:tr>
      <w:tr>
        <w:tblPrEx>
          <w:tblLayout w:type="fixed"/>
          <w:tblCellMar>
            <w:top w:w="0" w:type="dxa"/>
            <w:left w:w="108" w:type="dxa"/>
            <w:bottom w:w="0" w:type="dxa"/>
            <w:right w:w="108" w:type="dxa"/>
          </w:tblCellMar>
        </w:tblPrEx>
        <w:trPr>
          <w:trHeight w:val="90"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vMerge w:val="continue"/>
            <w:tcBorders>
              <w:left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p>
        </w:tc>
        <w:tc>
          <w:tcPr>
            <w:tcW w:w="1363" w:type="dxa"/>
            <w:gridSpan w:val="2"/>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0"/>
                <w:szCs w:val="20"/>
              </w:rPr>
            </w:pP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指标</w:t>
            </w:r>
            <w:r>
              <w:rPr>
                <w:rFonts w:hint="eastAsia" w:ascii="宋体" w:hAnsi="宋体" w:cs="宋体"/>
                <w:color w:val="auto"/>
                <w:kern w:val="0"/>
                <w:sz w:val="20"/>
                <w:szCs w:val="20"/>
                <w:lang w:val="en-US" w:eastAsia="zh-CN"/>
              </w:rPr>
              <w:t>2</w:t>
            </w:r>
            <w:r>
              <w:rPr>
                <w:rFonts w:hint="eastAsia" w:ascii="宋体" w:hAnsi="宋体" w:eastAsia="宋体" w:cs="宋体"/>
                <w:color w:val="auto"/>
                <w:kern w:val="0"/>
                <w:sz w:val="20"/>
                <w:szCs w:val="20"/>
              </w:rPr>
              <w:t>：</w:t>
            </w:r>
            <w:r>
              <w:rPr>
                <w:rFonts w:hint="eastAsia" w:ascii="宋体" w:hAnsi="宋体" w:eastAsia="宋体" w:cs="宋体"/>
                <w:kern w:val="0"/>
                <w:sz w:val="20"/>
                <w:szCs w:val="20"/>
              </w:rPr>
              <w:t>对全</w:t>
            </w:r>
            <w:r>
              <w:rPr>
                <w:rFonts w:hint="eastAsia" w:ascii="宋体" w:hAnsi="宋体" w:eastAsia="宋体" w:cs="宋体"/>
                <w:kern w:val="0"/>
                <w:sz w:val="20"/>
                <w:szCs w:val="20"/>
                <w:lang w:eastAsia="zh-CN"/>
              </w:rPr>
              <w:t>县</w:t>
            </w:r>
            <w:r>
              <w:rPr>
                <w:rFonts w:hint="eastAsia" w:ascii="宋体" w:hAnsi="宋体" w:eastAsia="宋体" w:cs="宋体"/>
                <w:kern w:val="0"/>
                <w:sz w:val="20"/>
                <w:szCs w:val="20"/>
              </w:rPr>
              <w:t>网站进行网络安全监测</w:t>
            </w:r>
            <w:r>
              <w:rPr>
                <w:rFonts w:hint="eastAsia" w:ascii="宋体" w:hAnsi="宋体" w:cs="宋体"/>
                <w:kern w:val="0"/>
                <w:sz w:val="20"/>
                <w:szCs w:val="20"/>
                <w:lang w:eastAsia="zh-CN"/>
              </w:rPr>
              <w:t>个数</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eastAsia="宋体" w:cs="宋体"/>
                <w:kern w:val="0"/>
                <w:sz w:val="20"/>
                <w:szCs w:val="20"/>
                <w:lang w:val="en-US" w:eastAsia="zh-CN"/>
              </w:rPr>
              <w:t>21</w:t>
            </w:r>
            <w:r>
              <w:rPr>
                <w:rFonts w:hint="eastAsia" w:ascii="宋体" w:hAnsi="宋体" w:cs="宋体"/>
                <w:kern w:val="0"/>
                <w:sz w:val="20"/>
                <w:szCs w:val="20"/>
                <w:lang w:val="en-US" w:eastAsia="zh-CN"/>
              </w:rPr>
              <w:t>个</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eastAsia="宋体" w:cs="宋体"/>
                <w:kern w:val="0"/>
                <w:sz w:val="20"/>
                <w:szCs w:val="20"/>
                <w:lang w:val="en-US" w:eastAsia="zh-CN"/>
              </w:rPr>
              <w:t>21</w:t>
            </w:r>
            <w:r>
              <w:rPr>
                <w:rFonts w:hint="eastAsia" w:ascii="宋体" w:hAnsi="宋体" w:cs="宋体"/>
                <w:kern w:val="0"/>
                <w:sz w:val="20"/>
                <w:szCs w:val="20"/>
                <w:lang w:val="en-US" w:eastAsia="zh-CN"/>
              </w:rPr>
              <w:t>个</w:t>
            </w:r>
          </w:p>
        </w:tc>
      </w:tr>
      <w:tr>
        <w:tblPrEx>
          <w:tblLayout w:type="fixed"/>
          <w:tblCellMar>
            <w:top w:w="0" w:type="dxa"/>
            <w:left w:w="108" w:type="dxa"/>
            <w:bottom w:w="0" w:type="dxa"/>
            <w:right w:w="108" w:type="dxa"/>
          </w:tblCellMar>
        </w:tblPrEx>
        <w:trPr>
          <w:trHeight w:val="720"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p>
        </w:tc>
        <w:tc>
          <w:tcPr>
            <w:tcW w:w="136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质量指标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color w:val="auto"/>
                <w:kern w:val="0"/>
                <w:sz w:val="20"/>
                <w:szCs w:val="20"/>
                <w:lang w:eastAsia="zh-CN"/>
              </w:rPr>
              <w:t>涉玛舆情发现处置率</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100%</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100%</w:t>
            </w:r>
          </w:p>
        </w:tc>
      </w:tr>
      <w:tr>
        <w:tblPrEx>
          <w:tblLayout w:type="fixed"/>
          <w:tblCellMar>
            <w:top w:w="0" w:type="dxa"/>
            <w:left w:w="108" w:type="dxa"/>
            <w:bottom w:w="0" w:type="dxa"/>
            <w:right w:w="108" w:type="dxa"/>
          </w:tblCellMar>
        </w:tblPrEx>
        <w:trPr>
          <w:trHeight w:val="625"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p>
        </w:tc>
        <w:tc>
          <w:tcPr>
            <w:tcW w:w="136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rPr>
              <w:t>指标1：</w:t>
            </w:r>
            <w:r>
              <w:rPr>
                <w:rFonts w:hint="eastAsia" w:ascii="宋体" w:hAnsi="宋体" w:cs="宋体"/>
                <w:kern w:val="0"/>
                <w:sz w:val="20"/>
                <w:szCs w:val="20"/>
                <w:lang w:eastAsia="zh-CN"/>
              </w:rPr>
              <w:t>预算执行率</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100%</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100%</w:t>
            </w:r>
          </w:p>
        </w:tc>
      </w:tr>
      <w:tr>
        <w:tblPrEx>
          <w:tblLayout w:type="fixed"/>
          <w:tblCellMar>
            <w:top w:w="0" w:type="dxa"/>
            <w:left w:w="108" w:type="dxa"/>
            <w:bottom w:w="0" w:type="dxa"/>
            <w:right w:w="108" w:type="dxa"/>
          </w:tblCellMar>
        </w:tblPrEx>
        <w:trPr>
          <w:trHeight w:val="625"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p>
        </w:tc>
        <w:tc>
          <w:tcPr>
            <w:tcW w:w="136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rPr>
              <w:t>指标1：</w:t>
            </w:r>
            <w:r>
              <w:rPr>
                <w:rFonts w:hint="eastAsia" w:ascii="宋体" w:hAnsi="宋体" w:cs="宋体"/>
                <w:kern w:val="0"/>
                <w:sz w:val="20"/>
                <w:szCs w:val="20"/>
                <w:lang w:eastAsia="zh-CN"/>
              </w:rPr>
              <w:t>本年</w:t>
            </w:r>
            <w:r>
              <w:rPr>
                <w:rFonts w:hint="eastAsia" w:ascii="宋体" w:hAnsi="宋体" w:eastAsia="宋体" w:cs="宋体"/>
                <w:kern w:val="0"/>
                <w:sz w:val="20"/>
                <w:szCs w:val="20"/>
              </w:rPr>
              <w:t>互联网监控费用　</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cs="宋体"/>
                <w:kern w:val="0"/>
                <w:sz w:val="20"/>
                <w:szCs w:val="20"/>
                <w:lang w:val="en-US" w:eastAsia="zh-CN"/>
              </w:rPr>
              <w:t>3.83万元</w:t>
            </w:r>
            <w:r>
              <w:rPr>
                <w:rFonts w:hint="eastAsia" w:ascii="宋体" w:hAnsi="宋体" w:eastAsia="宋体" w:cs="宋体"/>
                <w:kern w:val="0"/>
                <w:sz w:val="20"/>
                <w:szCs w:val="20"/>
              </w:rPr>
              <w:t>　</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cs="宋体"/>
                <w:kern w:val="0"/>
                <w:sz w:val="20"/>
                <w:szCs w:val="20"/>
                <w:lang w:val="en-US" w:eastAsia="zh-CN"/>
              </w:rPr>
              <w:t>3.83万元</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551"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项目效果指标</w:t>
            </w:r>
          </w:p>
        </w:tc>
        <w:tc>
          <w:tcPr>
            <w:tcW w:w="136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经济效益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指标1：</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p>
        </w:tc>
      </w:tr>
      <w:tr>
        <w:tblPrEx>
          <w:tblLayout w:type="fixed"/>
          <w:tblCellMar>
            <w:top w:w="0" w:type="dxa"/>
            <w:left w:w="108" w:type="dxa"/>
            <w:bottom w:w="0" w:type="dxa"/>
            <w:right w:w="108" w:type="dxa"/>
          </w:tblCellMar>
        </w:tblPrEx>
        <w:trPr>
          <w:trHeight w:val="956"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p>
        </w:tc>
        <w:tc>
          <w:tcPr>
            <w:tcW w:w="136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指标1：为我</w:t>
            </w:r>
            <w:r>
              <w:rPr>
                <w:rFonts w:hint="eastAsia" w:ascii="宋体" w:hAnsi="宋体" w:eastAsia="宋体" w:cs="宋体"/>
                <w:kern w:val="0"/>
                <w:sz w:val="20"/>
                <w:szCs w:val="20"/>
                <w:lang w:eastAsia="zh-CN"/>
              </w:rPr>
              <w:t>县</w:t>
            </w:r>
            <w:r>
              <w:rPr>
                <w:rFonts w:hint="eastAsia" w:ascii="宋体" w:hAnsi="宋体" w:eastAsia="宋体" w:cs="宋体"/>
                <w:kern w:val="0"/>
                <w:sz w:val="20"/>
                <w:szCs w:val="20"/>
              </w:rPr>
              <w:t>社会经济发展营造良好舆论环境，打造风清气正的网络空间</w:t>
            </w:r>
            <w:r>
              <w:rPr>
                <w:rFonts w:hint="eastAsia" w:ascii="宋体" w:hAnsi="宋体" w:eastAsia="宋体" w:cs="宋体"/>
                <w:kern w:val="0"/>
                <w:sz w:val="20"/>
                <w:szCs w:val="20"/>
                <w:lang w:eastAsia="zh-CN"/>
              </w:rPr>
              <w:t>。</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完成预期目标</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完成预期目标</w:t>
            </w:r>
          </w:p>
        </w:tc>
      </w:tr>
      <w:tr>
        <w:tblPrEx>
          <w:tblLayout w:type="fixed"/>
          <w:tblCellMar>
            <w:top w:w="0" w:type="dxa"/>
            <w:left w:w="108" w:type="dxa"/>
            <w:bottom w:w="0" w:type="dxa"/>
            <w:right w:w="108" w:type="dxa"/>
          </w:tblCellMar>
        </w:tblPrEx>
        <w:trPr>
          <w:trHeight w:val="956"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p>
        </w:tc>
        <w:tc>
          <w:tcPr>
            <w:tcW w:w="136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生态效益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指标1：为我</w:t>
            </w:r>
            <w:r>
              <w:rPr>
                <w:rFonts w:hint="eastAsia" w:ascii="宋体" w:hAnsi="宋体" w:eastAsia="宋体" w:cs="宋体"/>
                <w:kern w:val="0"/>
                <w:sz w:val="20"/>
                <w:szCs w:val="20"/>
                <w:lang w:eastAsia="zh-CN"/>
              </w:rPr>
              <w:t>县</w:t>
            </w:r>
            <w:r>
              <w:rPr>
                <w:rFonts w:hint="eastAsia" w:ascii="宋体" w:hAnsi="宋体" w:cs="宋体"/>
                <w:kern w:val="0"/>
                <w:sz w:val="20"/>
                <w:szCs w:val="20"/>
                <w:lang w:eastAsia="zh-CN"/>
              </w:rPr>
              <w:t>生态环境建设</w:t>
            </w:r>
            <w:r>
              <w:rPr>
                <w:rFonts w:hint="eastAsia" w:ascii="宋体" w:hAnsi="宋体" w:eastAsia="宋体" w:cs="宋体"/>
                <w:kern w:val="0"/>
                <w:sz w:val="20"/>
                <w:szCs w:val="20"/>
              </w:rPr>
              <w:t>营造良好舆论环境，</w:t>
            </w:r>
            <w:r>
              <w:rPr>
                <w:rFonts w:hint="eastAsia" w:ascii="宋体" w:hAnsi="宋体" w:cs="宋体"/>
                <w:kern w:val="0"/>
                <w:sz w:val="20"/>
                <w:szCs w:val="20"/>
                <w:lang w:eastAsia="zh-CN"/>
              </w:rPr>
              <w:t>促进打赢蓝天保卫战</w:t>
            </w:r>
            <w:r>
              <w:rPr>
                <w:rFonts w:hint="eastAsia" w:ascii="宋体" w:hAnsi="宋体" w:eastAsia="宋体" w:cs="宋体"/>
                <w:kern w:val="0"/>
                <w:sz w:val="20"/>
                <w:szCs w:val="20"/>
                <w:lang w:eastAsia="zh-CN"/>
              </w:rPr>
              <w:t>。</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完成预期目标</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完成预期目标</w:t>
            </w:r>
          </w:p>
        </w:tc>
      </w:tr>
      <w:tr>
        <w:tblPrEx>
          <w:tblLayout w:type="fixed"/>
          <w:tblCellMar>
            <w:top w:w="0" w:type="dxa"/>
            <w:left w:w="108" w:type="dxa"/>
            <w:bottom w:w="0" w:type="dxa"/>
            <w:right w:w="108" w:type="dxa"/>
          </w:tblCellMar>
        </w:tblPrEx>
        <w:trPr>
          <w:trHeight w:val="625"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p>
        </w:tc>
        <w:tc>
          <w:tcPr>
            <w:tcW w:w="136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可持续影响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指标1：支出发挥作用时长</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1年</w:t>
            </w:r>
          </w:p>
        </w:tc>
        <w:tc>
          <w:tcPr>
            <w:tcW w:w="17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rPr>
              <w:t>完成预期目标</w:t>
            </w:r>
          </w:p>
        </w:tc>
      </w:tr>
      <w:tr>
        <w:tblPrEx>
          <w:tblLayout w:type="fixed"/>
          <w:tblCellMar>
            <w:top w:w="0" w:type="dxa"/>
            <w:left w:w="108" w:type="dxa"/>
            <w:bottom w:w="0" w:type="dxa"/>
            <w:right w:w="108" w:type="dxa"/>
          </w:tblCellMar>
        </w:tblPrEx>
        <w:trPr>
          <w:trHeight w:val="730" w:hRule="atLeast"/>
        </w:trPr>
        <w:tc>
          <w:tcPr>
            <w:tcW w:w="722"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143"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36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满意度指标</w:t>
            </w:r>
          </w:p>
        </w:tc>
        <w:tc>
          <w:tcPr>
            <w:tcW w:w="19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cs="宋体"/>
                <w:kern w:val="0"/>
                <w:sz w:val="20"/>
                <w:szCs w:val="20"/>
                <w:lang w:eastAsia="zh-CN"/>
              </w:rPr>
              <w:t>干群满意度</w:t>
            </w:r>
          </w:p>
        </w:tc>
        <w:tc>
          <w:tcPr>
            <w:tcW w:w="206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default" w:ascii="Arial" w:hAnsi="Arial" w:cs="Arial"/>
                <w:kern w:val="0"/>
                <w:sz w:val="20"/>
                <w:szCs w:val="20"/>
                <w:lang w:val="en-US" w:eastAsia="zh-CN"/>
              </w:rPr>
              <w:t>≥</w:t>
            </w:r>
            <w:r>
              <w:rPr>
                <w:rFonts w:hint="eastAsia" w:ascii="宋体" w:hAnsi="宋体" w:cs="宋体"/>
                <w:kern w:val="0"/>
                <w:sz w:val="20"/>
                <w:szCs w:val="20"/>
                <w:lang w:val="en-US" w:eastAsia="zh-CN"/>
              </w:rPr>
              <w:t>90%</w:t>
            </w:r>
          </w:p>
        </w:tc>
        <w:tc>
          <w:tcPr>
            <w:tcW w:w="178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95%</w:t>
            </w:r>
          </w:p>
        </w:tc>
      </w:tr>
    </w:tbl>
    <w:p>
      <w:pPr>
        <w:spacing w:line="540" w:lineRule="exact"/>
        <w:rPr>
          <w:rStyle w:val="18"/>
          <w:rFonts w:ascii="仿宋" w:hAnsi="仿宋" w:eastAsia="仿宋"/>
          <w:b w:val="0"/>
          <w:spacing w:val="-4"/>
          <w:sz w:val="32"/>
          <w:szCs w:val="32"/>
        </w:rPr>
      </w:pPr>
    </w:p>
    <w:sectPr>
      <w:footerReference r:id="rId3" w:type="default"/>
      <w:pgSz w:w="11906" w:h="16838"/>
      <w:pgMar w:top="1417" w:right="1558" w:bottom="1417"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77752F"/>
    <w:rsid w:val="01AC6A5B"/>
    <w:rsid w:val="0699138F"/>
    <w:rsid w:val="073E183D"/>
    <w:rsid w:val="08A70F8B"/>
    <w:rsid w:val="09556931"/>
    <w:rsid w:val="0AE005FF"/>
    <w:rsid w:val="0AE9574F"/>
    <w:rsid w:val="0B833162"/>
    <w:rsid w:val="0D6956E5"/>
    <w:rsid w:val="0E351343"/>
    <w:rsid w:val="0EC9083E"/>
    <w:rsid w:val="111B3DCD"/>
    <w:rsid w:val="1300354A"/>
    <w:rsid w:val="1454421E"/>
    <w:rsid w:val="16780072"/>
    <w:rsid w:val="185545FA"/>
    <w:rsid w:val="19475DA7"/>
    <w:rsid w:val="1B937A5F"/>
    <w:rsid w:val="1DFC0733"/>
    <w:rsid w:val="1F252C9D"/>
    <w:rsid w:val="1F616016"/>
    <w:rsid w:val="219054E7"/>
    <w:rsid w:val="219566C0"/>
    <w:rsid w:val="237100F7"/>
    <w:rsid w:val="25B019AB"/>
    <w:rsid w:val="25D761FC"/>
    <w:rsid w:val="25E87883"/>
    <w:rsid w:val="27AA7F8C"/>
    <w:rsid w:val="2A4573AF"/>
    <w:rsid w:val="2FE64759"/>
    <w:rsid w:val="32FA141B"/>
    <w:rsid w:val="35C32C97"/>
    <w:rsid w:val="384523C3"/>
    <w:rsid w:val="391F4574"/>
    <w:rsid w:val="3A264637"/>
    <w:rsid w:val="3D6C01D8"/>
    <w:rsid w:val="3D872A53"/>
    <w:rsid w:val="3FBB6589"/>
    <w:rsid w:val="4268528C"/>
    <w:rsid w:val="46310A5E"/>
    <w:rsid w:val="47116847"/>
    <w:rsid w:val="47B223B6"/>
    <w:rsid w:val="48D34A38"/>
    <w:rsid w:val="48E442A4"/>
    <w:rsid w:val="4DBB00F2"/>
    <w:rsid w:val="50240B1E"/>
    <w:rsid w:val="50B73F45"/>
    <w:rsid w:val="553C40C4"/>
    <w:rsid w:val="55BC34F7"/>
    <w:rsid w:val="57070A1E"/>
    <w:rsid w:val="593E2A71"/>
    <w:rsid w:val="59791372"/>
    <w:rsid w:val="629E25E2"/>
    <w:rsid w:val="63C42FF6"/>
    <w:rsid w:val="650E1386"/>
    <w:rsid w:val="668A2F43"/>
    <w:rsid w:val="6A211C09"/>
    <w:rsid w:val="6AE417DA"/>
    <w:rsid w:val="6B3D7B58"/>
    <w:rsid w:val="6CBF35F8"/>
    <w:rsid w:val="7429455B"/>
    <w:rsid w:val="77BF0EF5"/>
    <w:rsid w:val="79944760"/>
    <w:rsid w:val="7CE168B6"/>
    <w:rsid w:val="7EF15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7</TotalTime>
  <ScaleCrop>false</ScaleCrop>
  <LinksUpToDate>false</LinksUpToDate>
  <CharactersWithSpaces>1366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2024-03-28T09:43:19Z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