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r>
        <w:rPr>
          <w:rFonts w:hint="eastAsia" w:ascii="华文中宋" w:hAnsi="华文中宋" w:eastAsia="华文中宋" w:cs="宋体"/>
          <w:b/>
          <w:kern w:val="0"/>
          <w:sz w:val="52"/>
          <w:szCs w:val="52"/>
        </w:rPr>
        <w:t>玛纳斯县财政项目支出绩效自评报告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r>
        <w:rPr>
          <w:rFonts w:hint="eastAsia" w:ascii="华文中宋" w:hAnsi="华文中宋" w:eastAsia="华文中宋" w:cs="宋体"/>
          <w:b/>
          <w:kern w:val="0"/>
          <w:sz w:val="52"/>
          <w:szCs w:val="52"/>
        </w:rPr>
        <w:t>（2018年度）</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ind w:firstLine="627" w:firstLineChars="200"/>
        <w:rPr>
          <w:rStyle w:val="18"/>
          <w:rFonts w:hint="eastAsia" w:ascii="仿宋" w:hAnsi="仿宋" w:eastAsia="仿宋"/>
          <w:b/>
          <w:bCs w:val="0"/>
          <w:spacing w:val="-4"/>
          <w:sz w:val="32"/>
          <w:szCs w:val="32"/>
        </w:rPr>
      </w:pPr>
    </w:p>
    <w:p>
      <w:pPr>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项目名称：法律援助项目资金</w:t>
      </w:r>
    </w:p>
    <w:p>
      <w:pPr>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实施单位（公章）：玛纳斯县司法局</w:t>
      </w:r>
    </w:p>
    <w:p>
      <w:pPr>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主管部门（公章）：</w:t>
      </w:r>
    </w:p>
    <w:p>
      <w:pPr>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项目负责人（签章）：李兆曾</w:t>
      </w:r>
    </w:p>
    <w:p>
      <w:pPr>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填报时间：    2018 年12 月31日</w:t>
      </w:r>
      <w:bookmarkStart w:id="0" w:name="_GoBack"/>
      <w:bookmarkEnd w:id="0"/>
    </w:p>
    <w:p>
      <w:pPr>
        <w:ind w:firstLine="720" w:firstLineChars="200"/>
        <w:jc w:val="left"/>
        <w:rPr>
          <w:rFonts w:hint="eastAsia" w:hAnsi="宋体" w:eastAsia="仿宋_GB2312" w:cs="宋体"/>
          <w:kern w:val="0"/>
          <w:sz w:val="36"/>
          <w:szCs w:val="36"/>
        </w:rPr>
      </w:pPr>
    </w:p>
    <w:p>
      <w:pPr>
        <w:ind w:firstLine="720" w:firstLineChars="200"/>
        <w:jc w:val="left"/>
        <w:rPr>
          <w:rFonts w:hint="eastAsia" w:hAnsi="宋体" w:eastAsia="仿宋_GB2312" w:cs="宋体"/>
          <w:kern w:val="0"/>
          <w:sz w:val="36"/>
          <w:szCs w:val="36"/>
        </w:rPr>
      </w:pPr>
    </w:p>
    <w:p>
      <w:pPr>
        <w:ind w:firstLine="720" w:firstLineChars="200"/>
        <w:jc w:val="left"/>
        <w:rPr>
          <w:rFonts w:hint="eastAsia" w:hAnsi="宋体" w:eastAsia="仿宋_GB2312" w:cs="宋体"/>
          <w:kern w:val="0"/>
          <w:sz w:val="36"/>
          <w:szCs w:val="36"/>
        </w:rPr>
      </w:pPr>
    </w:p>
    <w:p>
      <w:pPr>
        <w:spacing w:line="540" w:lineRule="exact"/>
        <w:ind w:firstLine="627" w:firstLineChars="200"/>
        <w:rPr>
          <w:rStyle w:val="18"/>
          <w:rFonts w:hint="eastAsia" w:ascii="仿宋" w:hAnsi="仿宋" w:eastAsia="仿宋"/>
          <w:b/>
          <w:bCs w:val="0"/>
          <w:spacing w:val="-4"/>
          <w:sz w:val="32"/>
          <w:szCs w:val="32"/>
        </w:rPr>
      </w:pPr>
    </w:p>
    <w:p>
      <w:pPr>
        <w:spacing w:line="540" w:lineRule="exact"/>
        <w:ind w:firstLine="627" w:firstLineChars="200"/>
        <w:rPr>
          <w:rStyle w:val="18"/>
          <w:rFonts w:hint="eastAsia" w:ascii="仿宋" w:hAnsi="仿宋" w:eastAsia="仿宋"/>
          <w:b/>
          <w:bCs w:val="0"/>
          <w:spacing w:val="-4"/>
          <w:sz w:val="32"/>
          <w:szCs w:val="32"/>
        </w:rPr>
      </w:pP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一、项目概况</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（一）项目单位基本情况</w:t>
      </w:r>
    </w:p>
    <w:p>
      <w:pPr>
        <w:spacing w:line="540" w:lineRule="exact"/>
        <w:ind w:firstLine="624" w:firstLineChars="200"/>
        <w:rPr>
          <w:rStyle w:val="18"/>
          <w:rFonts w:hint="eastAsia" w:ascii="仿宋" w:hAnsi="仿宋" w:eastAsia="仿宋"/>
          <w:b w:val="0"/>
          <w:bCs/>
          <w:spacing w:val="-4"/>
          <w:sz w:val="32"/>
          <w:szCs w:val="32"/>
        </w:rPr>
      </w:pPr>
      <w:r>
        <w:rPr>
          <w:rStyle w:val="18"/>
          <w:rFonts w:hint="eastAsia" w:ascii="仿宋" w:hAnsi="仿宋" w:eastAsia="仿宋"/>
          <w:b w:val="0"/>
          <w:bCs/>
          <w:spacing w:val="-4"/>
          <w:sz w:val="32"/>
          <w:szCs w:val="32"/>
        </w:rPr>
        <w:t>玛纳斯县司法局成立于1986年8月，政法专项编制16人，实有在编人员12人，事业编制5人，实有事业在编管理岗人员1人，退休人员17人</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（二）项目预算绩效目标设定情况</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1、预期目标及阶段性目标：按照国家政策法规规定和部门实际情况，建立健全财务基础管理制度和约束机制，依法、有效地使用财政资金，提高财政资金使用效率，在完成部门职能目标中合理分配人，财、物，使这达到较高的工作效率和水平。</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2、项目基本性质、用途和主要内容围绕县委和政府的中心任务开展工作，促进社会和谐、经济发展、社会文明进步，为维护改革发展稳定的大局服务。</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3、涉及范围：保障法律援助正常运转、完成法律援助活动和其他日常工作任务等方面的支出，该经费的具体开支范围是：支付接受法律援助机构指派办理案件的律师、基层法律服务工作者和接受安排办理案件的社会组织人员，法律援助志愿者的办案补贴，包括差旅费、交通通讯费、文印费、调查取证费；法律援助机构办理法律援助案件的直接费用；受援人败诉后因经济困难无力缴纳的检定费和仲裁费。</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二、项目资金使用及管理情况</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（一）项目资金安排落实、总投入等情况分析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根据2018年我局实际，本年度本法律援助项目资金财政拨款资金安排为8.26万元，其中：中央财政安排0万元，自治区财政安排5万元，州安排财政安</w:t>
      </w:r>
      <w:r>
        <w:rPr>
          <w:rStyle w:val="18"/>
          <w:rFonts w:hint="eastAsia" w:ascii="仿宋" w:hAnsi="仿宋" w:eastAsia="仿宋"/>
          <w:b w:val="0"/>
          <w:spacing w:val="-4"/>
          <w:sz w:val="32"/>
          <w:szCs w:val="32"/>
        </w:rPr>
        <w:t>排0万元，县本级财政配套3.26万元，全部拨付到位，资金到位率100%。</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（二）项目资金实际使用情况分析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2018年法律援助项目资金主要用于支付法律援助中心办公费0.5万元、水费0.2万元，电费0.9万元、培训费2.26万元 、劳务费0.4万元、支付法律援助补贴款4万元，资金执行率100%。</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（三）项目资金管理情况分析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管理制度、办法的制定：我局根据上级及财政部门要求，根据相关法律规章制度，制定了我局法律援助项目资金相关制度规定。如，财务管理规定，“三重一大”管理规定，资产管理制度，财务公示制度，财务人员职责等。</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执行情况：项目资金严格执行专项资金管理办法，单位项目资金的使用严格按照各项规章制度执行运转，资金无截留、滞留、违规抵扣等现象。</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三、项目组织实施情况</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（一）项目组织情况分析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项目投标情况：经费类项目无招投标情况。</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调整情况：本年项目无调整。</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完成验收：我局资金使用严格执行司法局各项规章制度，资金落实到位，不拖欠，不做项目外的其他支出。</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（二）项目管理情况分析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项目管理制度建设：我局根据上级及财政部门要求，根据相关法律规章制度，制定了我局法律援助项目资金相关制度规定。如，财务管理规定，“三重一大”管理规定，资产管理制度，财务公示制度，财务人员职责等。</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日常检查监督管理：司法局法律援助项目资金使用严格执行“三重一大”管理制度，对单位重大支出上党组会讨论严格执行一把手不直接分管财务、由办公室审核把关，分管机关的的副局长签字，保证了财务核算的独立严谨。</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四、项目绩效情况</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rPr>
        <w:t>（一）项目绩效目标完成情况分析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本项目共设置一级指标3个、二级指标7个、三级指标13个。其中已完成三级指标13个，指标完成率为100%。</w:t>
      </w:r>
    </w:p>
    <w:p>
      <w:pPr>
        <w:spacing w:line="540" w:lineRule="exact"/>
        <w:ind w:firstLine="627" w:firstLineChars="200"/>
        <w:rPr>
          <w:rStyle w:val="18"/>
          <w:rFonts w:hint="eastAsia" w:ascii="仿宋" w:hAnsi="仿宋" w:eastAsia="仿宋"/>
          <w:b/>
          <w:bCs w:val="0"/>
          <w:spacing w:val="-4"/>
          <w:sz w:val="32"/>
          <w:szCs w:val="32"/>
        </w:rPr>
      </w:pPr>
      <w:r>
        <w:rPr>
          <w:rStyle w:val="18"/>
          <w:rFonts w:hint="eastAsia" w:ascii="仿宋" w:hAnsi="仿宋" w:eastAsia="仿宋"/>
          <w:b/>
          <w:bCs w:val="0"/>
          <w:spacing w:val="-4"/>
          <w:sz w:val="32"/>
          <w:szCs w:val="32"/>
          <w:lang w:val="en-US" w:eastAsia="zh-CN"/>
        </w:rPr>
        <w:t>1、</w:t>
      </w:r>
      <w:r>
        <w:rPr>
          <w:rStyle w:val="18"/>
          <w:rFonts w:hint="eastAsia" w:ascii="仿宋" w:hAnsi="仿宋" w:eastAsia="仿宋"/>
          <w:b/>
          <w:bCs w:val="0"/>
          <w:spacing w:val="-4"/>
          <w:sz w:val="32"/>
          <w:szCs w:val="32"/>
        </w:rPr>
        <w:t>产出指标完成情况分析。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（1）项目完成数量。保障法律援助40人的工作经费。</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（2）项目完成质量。申请受援人员受理率100%，受助人员中困难人员占0.5%，刑事案件3日内受理期限，民事案件7日内受理。</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（3）项目实施进度。本年度本法律援助项目资金财政拨款资金安排为8.26万元，执行8.26万元，预算执行率100%。</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（4）项目成本情况。法律援助案件每件补助办案律师600元，提高办案律师的收入，提高办案积极性。</w:t>
      </w:r>
    </w:p>
    <w:p>
      <w:pPr>
        <w:spacing w:line="540" w:lineRule="exact"/>
        <w:ind w:firstLine="627" w:firstLineChars="200"/>
        <w:rPr>
          <w:rStyle w:val="18"/>
          <w:rFonts w:hint="eastAsia" w:ascii="仿宋" w:hAnsi="仿宋" w:eastAsia="仿宋"/>
          <w:b/>
          <w:bCs w:val="0"/>
          <w:spacing w:val="-4"/>
          <w:sz w:val="32"/>
          <w:szCs w:val="32"/>
          <w:lang w:val="en-US" w:eastAsia="zh-CN"/>
        </w:rPr>
      </w:pPr>
      <w:r>
        <w:rPr>
          <w:rStyle w:val="18"/>
          <w:rFonts w:hint="eastAsia" w:ascii="仿宋" w:hAnsi="仿宋" w:eastAsia="仿宋"/>
          <w:b/>
          <w:bCs w:val="0"/>
          <w:spacing w:val="-4"/>
          <w:sz w:val="32"/>
          <w:szCs w:val="32"/>
          <w:lang w:val="en-US" w:eastAsia="zh-CN"/>
        </w:rPr>
        <w:t>2、效益指标完成情况分析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（1）项目实施的社会效益分析。法律援助案件保障民生改变，司法公正，让更多需要法律援助的弱势群体得到了帮助，有力地提升了法律援助工作的社会认知度，在推进依法治</w:t>
      </w:r>
      <w:r>
        <w:rPr>
          <w:rStyle w:val="18"/>
          <w:rFonts w:hint="eastAsia" w:ascii="仿宋" w:hAnsi="仿宋" w:eastAsia="仿宋"/>
          <w:b w:val="0"/>
          <w:spacing w:val="-4"/>
          <w:sz w:val="32"/>
          <w:szCs w:val="32"/>
        </w:rPr>
        <w:t>县进程、维护社会和谐稳定中发挥重要作用。</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（2）项目实施的可持续影响分析。项目持续时间1年。201</w:t>
      </w:r>
      <w:r>
        <w:rPr>
          <w:rStyle w:val="18"/>
          <w:rFonts w:hint="eastAsia" w:ascii="仿宋" w:hAnsi="仿宋" w:eastAsia="仿宋"/>
          <w:b w:val="0"/>
          <w:spacing w:val="-4"/>
          <w:sz w:val="32"/>
          <w:szCs w:val="32"/>
        </w:rPr>
        <w:t>8年我局法律援助项目资金收入支出平衡，无负债，无结余。全部用于我局正常运转、完成司法行政活动和其他日常工作任务。</w:t>
      </w:r>
    </w:p>
    <w:p>
      <w:pPr>
        <w:spacing w:line="540" w:lineRule="exact"/>
        <w:ind w:firstLine="627" w:firstLineChars="200"/>
        <w:rPr>
          <w:rStyle w:val="18"/>
          <w:rFonts w:hint="eastAsia" w:ascii="仿宋" w:hAnsi="仿宋" w:eastAsia="仿宋"/>
          <w:b/>
          <w:bCs w:val="0"/>
          <w:spacing w:val="-4"/>
          <w:sz w:val="32"/>
          <w:szCs w:val="32"/>
          <w:lang w:val="en-US" w:eastAsia="zh-CN"/>
        </w:rPr>
      </w:pPr>
      <w:r>
        <w:rPr>
          <w:rStyle w:val="18"/>
          <w:rFonts w:hint="eastAsia" w:ascii="仿宋" w:hAnsi="仿宋" w:eastAsia="仿宋"/>
          <w:b/>
          <w:bCs w:val="0"/>
          <w:spacing w:val="-4"/>
          <w:sz w:val="32"/>
          <w:szCs w:val="32"/>
          <w:lang w:val="en-US" w:eastAsia="zh-CN"/>
        </w:rPr>
        <w:t>3、满意度指标完成情况分析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法律援助案件保障民生改变，司法公正，让更多需要法律援助的弱势群体得到了帮助，干部群众满意度达</w:t>
      </w:r>
      <w:r>
        <w:rPr>
          <w:rStyle w:val="18"/>
          <w:rFonts w:hint="eastAsia" w:ascii="仿宋" w:hAnsi="仿宋" w:eastAsia="仿宋"/>
          <w:b w:val="0"/>
          <w:spacing w:val="-4"/>
          <w:sz w:val="32"/>
          <w:szCs w:val="32"/>
        </w:rPr>
        <w:t>98%。</w:t>
      </w:r>
    </w:p>
    <w:p>
      <w:pPr>
        <w:spacing w:line="540" w:lineRule="exact"/>
        <w:ind w:firstLine="627" w:firstLineChars="200"/>
        <w:rPr>
          <w:rStyle w:val="18"/>
          <w:rFonts w:hint="eastAsia" w:ascii="仿宋" w:hAnsi="仿宋" w:eastAsia="仿宋"/>
          <w:b/>
          <w:bCs w:val="0"/>
          <w:spacing w:val="-4"/>
          <w:sz w:val="32"/>
          <w:szCs w:val="32"/>
          <w:lang w:val="en-US" w:eastAsia="zh-CN"/>
        </w:rPr>
      </w:pPr>
      <w:r>
        <w:rPr>
          <w:rStyle w:val="18"/>
          <w:rFonts w:hint="eastAsia" w:ascii="仿宋" w:hAnsi="仿宋" w:eastAsia="仿宋"/>
          <w:b/>
          <w:bCs w:val="0"/>
          <w:spacing w:val="-4"/>
          <w:sz w:val="32"/>
          <w:szCs w:val="32"/>
          <w:lang w:val="en-US" w:eastAsia="zh-CN"/>
        </w:rPr>
        <w:t>（二）项目绩效目标未完成原因分析</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该项目已完成所有设定的绩效目标任务，完成率100%，不存在未完成目标值情况。</w:t>
      </w:r>
    </w:p>
    <w:p>
      <w:pPr>
        <w:spacing w:line="540" w:lineRule="exact"/>
        <w:ind w:firstLine="627" w:firstLineChars="200"/>
        <w:rPr>
          <w:rStyle w:val="18"/>
          <w:rFonts w:hint="eastAsia" w:ascii="仿宋" w:hAnsi="仿宋" w:eastAsia="仿宋"/>
          <w:b/>
          <w:bCs w:val="0"/>
          <w:spacing w:val="-4"/>
          <w:sz w:val="32"/>
          <w:szCs w:val="32"/>
          <w:lang w:val="en-US" w:eastAsia="zh-CN"/>
        </w:rPr>
      </w:pPr>
      <w:r>
        <w:rPr>
          <w:rStyle w:val="18"/>
          <w:rFonts w:hint="eastAsia" w:ascii="仿宋" w:hAnsi="仿宋" w:eastAsia="仿宋"/>
          <w:b/>
          <w:bCs w:val="0"/>
          <w:spacing w:val="-4"/>
          <w:sz w:val="32"/>
          <w:szCs w:val="32"/>
          <w:lang w:val="en-US" w:eastAsia="zh-CN"/>
        </w:rPr>
        <w:t>五、主要经验及做法、存在问题和建议</w:t>
      </w:r>
    </w:p>
    <w:p>
      <w:pPr>
        <w:spacing w:line="540" w:lineRule="exact"/>
        <w:ind w:firstLine="627" w:firstLineChars="200"/>
        <w:rPr>
          <w:rStyle w:val="18"/>
          <w:rFonts w:hint="eastAsia" w:ascii="仿宋" w:hAnsi="仿宋" w:eastAsia="仿宋"/>
          <w:b/>
          <w:bCs w:val="0"/>
          <w:spacing w:val="-4"/>
          <w:sz w:val="32"/>
          <w:szCs w:val="32"/>
          <w:lang w:val="en-US" w:eastAsia="zh-CN"/>
        </w:rPr>
      </w:pPr>
      <w:r>
        <w:rPr>
          <w:rStyle w:val="18"/>
          <w:rFonts w:hint="eastAsia" w:ascii="仿宋" w:hAnsi="仿宋" w:eastAsia="仿宋"/>
          <w:b/>
          <w:bCs w:val="0"/>
          <w:spacing w:val="-4"/>
          <w:sz w:val="32"/>
          <w:szCs w:val="32"/>
          <w:lang w:val="en-US" w:eastAsia="zh-CN"/>
        </w:rPr>
        <w:t>（一）后续工作计划</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进一步加强资金管理，提高资金使用效率。</w:t>
      </w:r>
    </w:p>
    <w:p>
      <w:pPr>
        <w:spacing w:line="540" w:lineRule="exact"/>
        <w:ind w:firstLine="627" w:firstLineChars="200"/>
        <w:rPr>
          <w:rStyle w:val="18"/>
          <w:rFonts w:hint="eastAsia" w:ascii="仿宋" w:hAnsi="仿宋" w:eastAsia="仿宋"/>
          <w:b w:val="0"/>
          <w:spacing w:val="-4"/>
          <w:sz w:val="32"/>
          <w:szCs w:val="32"/>
        </w:rPr>
      </w:pPr>
      <w:r>
        <w:rPr>
          <w:rStyle w:val="18"/>
          <w:rFonts w:hint="eastAsia" w:ascii="仿宋" w:hAnsi="仿宋" w:eastAsia="仿宋"/>
          <w:b/>
          <w:bCs w:val="0"/>
          <w:spacing w:val="-4"/>
          <w:sz w:val="32"/>
          <w:szCs w:val="32"/>
          <w:lang w:val="en-US" w:eastAsia="zh-CN"/>
        </w:rPr>
        <w:t>（二）主要经验及做法、存在问题和建议</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资金安排、使用过程中的经验：严格控制法律援助经费的支出范围，规范支出</w:t>
      </w:r>
      <w:r>
        <w:rPr>
          <w:rStyle w:val="18"/>
          <w:rFonts w:hint="eastAsia" w:ascii="仿宋" w:hAnsi="仿宋" w:eastAsia="仿宋"/>
          <w:b w:val="0"/>
          <w:spacing w:val="-4"/>
          <w:sz w:val="32"/>
          <w:szCs w:val="32"/>
        </w:rPr>
        <w:t>财务管理规定，“三重一大”管理规定，资产管理制度，财务公示制度，财务人员职责等。单位项目资金的使用严格按照各项规章制度执行运转。</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存在问题：法律援助经费的支出有待进一步完善，对绩效监控的认识和重视程度不够，对绩效监控的工作认真不够。</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建议：加强花钱必问效，无效比问责的理念，加强绩效监控的重视程度和学习能力，通过学习加强绩效管理工作。</w:t>
      </w:r>
    </w:p>
    <w:p>
      <w:pPr>
        <w:spacing w:line="540" w:lineRule="exact"/>
        <w:ind w:firstLine="627" w:firstLineChars="200"/>
        <w:rPr>
          <w:rStyle w:val="18"/>
          <w:rFonts w:hint="eastAsia" w:ascii="仿宋" w:hAnsi="仿宋" w:eastAsia="仿宋"/>
          <w:b/>
          <w:bCs w:val="0"/>
          <w:spacing w:val="-4"/>
          <w:sz w:val="32"/>
          <w:szCs w:val="32"/>
          <w:lang w:val="en-US" w:eastAsia="zh-CN"/>
        </w:rPr>
      </w:pPr>
      <w:r>
        <w:rPr>
          <w:rStyle w:val="18"/>
          <w:rFonts w:hint="eastAsia" w:ascii="仿宋" w:hAnsi="仿宋" w:eastAsia="仿宋"/>
          <w:b/>
          <w:bCs w:val="0"/>
          <w:spacing w:val="-4"/>
          <w:sz w:val="32"/>
          <w:szCs w:val="32"/>
          <w:lang w:val="en-US" w:eastAsia="zh-CN"/>
        </w:rPr>
        <w:t>（三）其他</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该项目预算执行进度与绩效指标总体完成率无偏差。</w:t>
      </w:r>
    </w:p>
    <w:p>
      <w:pPr>
        <w:spacing w:line="540" w:lineRule="exact"/>
        <w:ind w:firstLine="627" w:firstLineChars="200"/>
        <w:rPr>
          <w:rStyle w:val="18"/>
          <w:rFonts w:hint="eastAsia" w:ascii="仿宋" w:hAnsi="仿宋" w:eastAsia="仿宋"/>
          <w:b/>
          <w:bCs w:val="0"/>
          <w:spacing w:val="-4"/>
          <w:sz w:val="32"/>
          <w:szCs w:val="32"/>
          <w:lang w:val="en-US" w:eastAsia="zh-CN"/>
        </w:rPr>
      </w:pPr>
      <w:r>
        <w:rPr>
          <w:rStyle w:val="18"/>
          <w:rFonts w:hint="eastAsia" w:ascii="仿宋" w:hAnsi="仿宋" w:eastAsia="仿宋"/>
          <w:b/>
          <w:bCs w:val="0"/>
          <w:spacing w:val="-4"/>
          <w:sz w:val="32"/>
          <w:szCs w:val="32"/>
          <w:lang w:val="en-US" w:eastAsia="zh-CN"/>
        </w:rPr>
        <w:t>六、项目评价工作情况</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包括评价基础数据收集、资料来源和依据等佐证材料情况，项目现场勘验检查核实等情况</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根据《昌州财行【2018】26号2018年度中央转移支付法律援助专款》文件要求，严格执行文件精神，专款专用。按照单位会计管理办法，严格执行审批程序。</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在项目实施前经过充分论证，项目实施过程中严格管理，项目结束后继续跟踪项目效果，做好项目各项手续、财务管理、项目实施等工作。</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附表</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ind w:firstLine="624" w:firstLineChars="200"/>
        <w:rPr>
          <w:rStyle w:val="18"/>
          <w:rFonts w:hint="eastAsia"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hint="eastAsia" w:ascii="仿宋" w:hAnsi="仿宋" w:eastAsia="仿宋"/>
          <w:b w:val="0"/>
          <w:spacing w:val="-4"/>
          <w:sz w:val="32"/>
          <w:szCs w:val="32"/>
        </w:rPr>
      </w:pPr>
    </w:p>
    <w:p>
      <w:pPr>
        <w:spacing w:line="540" w:lineRule="exact"/>
        <w:rPr>
          <w:rStyle w:val="18"/>
          <w:rFonts w:hint="eastAsia" w:ascii="仿宋" w:hAnsi="仿宋" w:eastAsia="仿宋"/>
          <w:b w:val="0"/>
          <w:spacing w:val="-4"/>
          <w:sz w:val="32"/>
          <w:szCs w:val="32"/>
        </w:rPr>
      </w:pPr>
    </w:p>
    <w:p>
      <w:pPr>
        <w:spacing w:line="540" w:lineRule="exact"/>
        <w:rPr>
          <w:rStyle w:val="18"/>
          <w:rFonts w:hint="eastAsia"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tbl>
      <w:tblPr>
        <w:tblStyle w:val="22"/>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w:t>
            </w:r>
            <w:r>
              <w:rPr>
                <w:rFonts w:hint="eastAsia" w:ascii="宋体" w:hAnsi="宋体" w:cs="宋体"/>
                <w:kern w:val="0"/>
                <w:sz w:val="24"/>
              </w:rPr>
              <w:t>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jc w:val="center"/>
              <w:rPr>
                <w:rFonts w:ascii="宋体" w:cs="宋体"/>
                <w:sz w:val="20"/>
                <w:szCs w:val="20"/>
              </w:rPr>
            </w:pPr>
            <w:r>
              <w:rPr>
                <w:rFonts w:hint="eastAsia"/>
                <w:sz w:val="20"/>
                <w:szCs w:val="20"/>
              </w:rPr>
              <w:t>法律援助项目资金</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玛纳斯县司法局</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8.26万元</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8.26万元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8.26万元</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8.26万元</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jc w:val="left"/>
              <w:rPr>
                <w:rFonts w:ascii="宋体" w:cs="宋体"/>
                <w:kern w:val="0"/>
                <w:sz w:val="20"/>
                <w:szCs w:val="20"/>
              </w:rPr>
            </w:pPr>
            <w:r>
              <w:rPr>
                <w:rFonts w:hint="eastAsia" w:ascii="宋体" w:cs="宋体"/>
                <w:kern w:val="0"/>
                <w:sz w:val="20"/>
                <w:szCs w:val="20"/>
              </w:rPr>
              <w:t>全面实施《佳律援助条例)，以实现“应援尽援”为目标。负责全县的法律援助工作，受理法律援助申请对全县特定弱势群体和特殊案件当事人提供法律援助，承力或组织承办在全县有重大影响的法律援动案件和全县公益性法律援助事项。负责“12348法律服务专线工作。解答法律咨询。宣传法律法规和政策。</w:t>
            </w:r>
          </w:p>
          <w:p>
            <w:pPr>
              <w:jc w:val="left"/>
              <w:rPr>
                <w:rFonts w:asci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tcPr>
          <w:p>
            <w:pPr>
              <w:ind w:firstLine="400" w:firstLineChars="200"/>
              <w:rPr>
                <w:sz w:val="20"/>
                <w:szCs w:val="20"/>
              </w:rPr>
            </w:pPr>
            <w:r>
              <w:rPr>
                <w:rFonts w:hint="eastAsia"/>
                <w:sz w:val="20"/>
                <w:szCs w:val="20"/>
              </w:rPr>
              <w:t>保障法律援助中心正常运转、完成司法行政活动和其他日常工作任务等方面的支出，该经费的具体开支范围是：保障法律援助正常运转、完成法律援助活动和其他日常工作任务等方面的支出，该经费的具体开支范围是：支付接受法律援助机构指派办理案件的律师、基层法律服务工作者和接受安排办理案件的社会组织人员，法律援助志愿者的办案补贴，包括差旅费、交通通讯费、文印费、调查取证费；法律援助机构办理法律援助案件的直接费用；受援人败诉后因经济困难无力缴纳的检定费和仲裁费。</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p>
            <w:pPr>
              <w:widowControl/>
              <w:jc w:val="center"/>
              <w:rPr>
                <w:rFonts w:ascii="宋体" w:cs="宋体"/>
                <w:kern w:val="0"/>
                <w:sz w:val="20"/>
                <w:szCs w:val="20"/>
              </w:rPr>
            </w:pP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jc w:val="left"/>
              <w:rPr>
                <w:rFonts w:cs="宋体" w:asciiTheme="minorEastAsia" w:hAnsiTheme="minorEastAsia" w:eastAsiaTheme="minorEastAsia"/>
                <w:sz w:val="20"/>
                <w:szCs w:val="20"/>
              </w:rPr>
            </w:pPr>
            <w:r>
              <w:rPr>
                <w:rFonts w:hint="eastAsia" w:asciiTheme="minorEastAsia" w:hAnsiTheme="minorEastAsia" w:eastAsiaTheme="minorEastAsia"/>
                <w:sz w:val="20"/>
                <w:szCs w:val="20"/>
              </w:rPr>
              <w:t>法律援助中心</w:t>
            </w:r>
          </w:p>
        </w:tc>
        <w:tc>
          <w:tcPr>
            <w:tcW w:w="206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1中心</w:t>
            </w:r>
          </w:p>
        </w:tc>
        <w:tc>
          <w:tcPr>
            <w:tcW w:w="178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1中心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jc w:val="left"/>
              <w:rPr>
                <w:rFonts w:cs="宋体" w:asciiTheme="minorEastAsia" w:hAnsiTheme="minorEastAsia" w:eastAsiaTheme="minorEastAsia"/>
                <w:sz w:val="20"/>
                <w:szCs w:val="20"/>
              </w:rPr>
            </w:pPr>
            <w:r>
              <w:rPr>
                <w:rFonts w:hint="eastAsia" w:asciiTheme="minorEastAsia" w:hAnsiTheme="minorEastAsia" w:eastAsiaTheme="minorEastAsia"/>
                <w:sz w:val="20"/>
                <w:szCs w:val="20"/>
              </w:rPr>
              <w:t>法律援助中心工作人数</w:t>
            </w:r>
          </w:p>
        </w:tc>
        <w:tc>
          <w:tcPr>
            <w:tcW w:w="206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40人</w:t>
            </w:r>
          </w:p>
        </w:tc>
        <w:tc>
          <w:tcPr>
            <w:tcW w:w="178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40人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single" w:color="auto" w:sz="4" w:space="0"/>
              <w:left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jc w:val="left"/>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申请受援人员受理率</w:t>
            </w:r>
          </w:p>
        </w:tc>
        <w:tc>
          <w:tcPr>
            <w:tcW w:w="206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asciiTheme="minorEastAsia" w:hAnsiTheme="minorEastAsia" w:eastAsiaTheme="minorEastAsia"/>
                <w:sz w:val="20"/>
                <w:szCs w:val="20"/>
              </w:rPr>
              <w:t>100%</w:t>
            </w:r>
          </w:p>
        </w:tc>
        <w:tc>
          <w:tcPr>
            <w:tcW w:w="178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cs="宋体" w:asciiTheme="minorEastAsia" w:hAnsiTheme="minorEastAsia" w:eastAsiaTheme="minorEastAsia"/>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jc w:val="left"/>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困难人员占比</w:t>
            </w:r>
          </w:p>
        </w:tc>
        <w:tc>
          <w:tcPr>
            <w:tcW w:w="206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w:t>
            </w:r>
            <w:r>
              <w:rPr>
                <w:rFonts w:asciiTheme="minorEastAsia" w:hAnsiTheme="minorEastAsia" w:eastAsiaTheme="minorEastAsia"/>
                <w:sz w:val="20"/>
                <w:szCs w:val="20"/>
              </w:rPr>
              <w:t>0.5%</w:t>
            </w:r>
          </w:p>
        </w:tc>
        <w:tc>
          <w:tcPr>
            <w:tcW w:w="178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asciiTheme="minorEastAsia" w:hAnsiTheme="minorEastAsia" w:eastAsiaTheme="minorEastAsia"/>
                <w:sz w:val="20"/>
                <w:szCs w:val="20"/>
              </w:rPr>
              <w:t>0.5%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jc w:val="left"/>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刑事案件受理期限</w:t>
            </w:r>
          </w:p>
        </w:tc>
        <w:tc>
          <w:tcPr>
            <w:tcW w:w="206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3个工作日</w:t>
            </w:r>
          </w:p>
        </w:tc>
        <w:tc>
          <w:tcPr>
            <w:tcW w:w="17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3个工作日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vMerge w:val="continue"/>
            <w:tcBorders>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jc w:val="left"/>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民事案件受理期限</w:t>
            </w:r>
          </w:p>
        </w:tc>
        <w:tc>
          <w:tcPr>
            <w:tcW w:w="206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7个工作日</w:t>
            </w:r>
          </w:p>
        </w:tc>
        <w:tc>
          <w:tcPr>
            <w:tcW w:w="17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7个工作日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jc w:val="left"/>
              <w:rPr>
                <w:rFonts w:cs="宋体" w:asciiTheme="minorEastAsia" w:hAnsiTheme="minorEastAsia" w:eastAsiaTheme="minorEastAsia"/>
                <w:sz w:val="20"/>
                <w:szCs w:val="20"/>
              </w:rPr>
            </w:pPr>
            <w:r>
              <w:rPr>
                <w:rFonts w:hint="eastAsia" w:asciiTheme="minorEastAsia" w:hAnsiTheme="minorEastAsia" w:eastAsiaTheme="minorEastAsia"/>
                <w:sz w:val="20"/>
                <w:szCs w:val="20"/>
              </w:rPr>
              <w:t>预算执行率</w:t>
            </w:r>
          </w:p>
        </w:tc>
        <w:tc>
          <w:tcPr>
            <w:tcW w:w="206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asciiTheme="minorEastAsia" w:hAnsiTheme="minorEastAsia" w:eastAsiaTheme="minorEastAsia"/>
                <w:sz w:val="20"/>
                <w:szCs w:val="20"/>
              </w:rPr>
              <w:t>100%</w:t>
            </w:r>
          </w:p>
        </w:tc>
        <w:tc>
          <w:tcPr>
            <w:tcW w:w="178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asciiTheme="minorEastAsia" w:hAnsiTheme="minorEastAsia" w:eastAsiaTheme="minorEastAsia"/>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jc w:val="left"/>
              <w:rPr>
                <w:rFonts w:cs="宋体" w:asciiTheme="minorEastAsia" w:hAnsiTheme="minorEastAsia" w:eastAsiaTheme="minorEastAsia"/>
                <w:sz w:val="20"/>
                <w:szCs w:val="20"/>
              </w:rPr>
            </w:pPr>
            <w:r>
              <w:rPr>
                <w:rFonts w:hint="eastAsia" w:asciiTheme="minorEastAsia" w:hAnsiTheme="minorEastAsia" w:eastAsiaTheme="minorEastAsia"/>
                <w:sz w:val="20"/>
                <w:szCs w:val="20"/>
              </w:rPr>
              <w:t>法律援助案件</w:t>
            </w:r>
          </w:p>
        </w:tc>
        <w:tc>
          <w:tcPr>
            <w:tcW w:w="206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asciiTheme="minorEastAsia" w:hAnsiTheme="minorEastAsia" w:eastAsiaTheme="minorEastAsia"/>
                <w:sz w:val="20"/>
                <w:szCs w:val="20"/>
              </w:rPr>
              <w:t>600</w:t>
            </w:r>
            <w:r>
              <w:rPr>
                <w:rFonts w:hint="eastAsia" w:asciiTheme="minorEastAsia" w:hAnsiTheme="minorEastAsia" w:eastAsiaTheme="minorEastAsia"/>
                <w:sz w:val="20"/>
                <w:szCs w:val="20"/>
              </w:rPr>
              <w:t>元</w:t>
            </w:r>
            <w:r>
              <w:rPr>
                <w:rFonts w:asciiTheme="minorEastAsia" w:hAnsiTheme="minorEastAsia" w:eastAsiaTheme="minorEastAsia"/>
                <w:sz w:val="20"/>
                <w:szCs w:val="20"/>
              </w:rPr>
              <w:t>/</w:t>
            </w:r>
            <w:r>
              <w:rPr>
                <w:rFonts w:hint="eastAsia" w:asciiTheme="minorEastAsia" w:hAnsiTheme="minorEastAsia" w:eastAsiaTheme="minorEastAsia"/>
                <w:sz w:val="20"/>
                <w:szCs w:val="20"/>
              </w:rPr>
              <w:t>件</w:t>
            </w:r>
          </w:p>
        </w:tc>
        <w:tc>
          <w:tcPr>
            <w:tcW w:w="178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asciiTheme="minorEastAsia" w:hAnsiTheme="minorEastAsia" w:eastAsiaTheme="minorEastAsia"/>
                <w:sz w:val="20"/>
                <w:szCs w:val="20"/>
              </w:rPr>
              <w:t>600</w:t>
            </w:r>
            <w:r>
              <w:rPr>
                <w:rFonts w:hint="eastAsia" w:asciiTheme="minorEastAsia" w:hAnsiTheme="minorEastAsia" w:eastAsiaTheme="minorEastAsia"/>
                <w:sz w:val="20"/>
                <w:szCs w:val="20"/>
              </w:rPr>
              <w:t>元</w:t>
            </w:r>
            <w:r>
              <w:rPr>
                <w:rFonts w:asciiTheme="minorEastAsia" w:hAnsiTheme="minorEastAsia" w:eastAsiaTheme="minorEastAsia"/>
                <w:sz w:val="20"/>
                <w:szCs w:val="20"/>
              </w:rPr>
              <w:t>/</w:t>
            </w:r>
            <w:r>
              <w:rPr>
                <w:rFonts w:hint="eastAsia" w:asciiTheme="minorEastAsia" w:hAnsiTheme="minorEastAsia" w:eastAsiaTheme="minorEastAsia"/>
                <w:sz w:val="20"/>
                <w:szCs w:val="20"/>
              </w:rPr>
              <w:t>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经济效益指标</w:t>
            </w:r>
          </w:p>
        </w:tc>
        <w:tc>
          <w:tcPr>
            <w:tcW w:w="1960" w:type="dxa"/>
            <w:gridSpan w:val="2"/>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sz w:val="20"/>
                <w:szCs w:val="20"/>
              </w:rPr>
            </w:pPr>
          </w:p>
        </w:tc>
        <w:tc>
          <w:tcPr>
            <w:tcW w:w="206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sz w:val="20"/>
                <w:szCs w:val="20"/>
              </w:rPr>
            </w:pPr>
          </w:p>
        </w:tc>
        <w:tc>
          <w:tcPr>
            <w:tcW w:w="17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社会效益</w:t>
            </w:r>
            <w:r>
              <w:rPr>
                <w:rFonts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指标</w:t>
            </w:r>
          </w:p>
        </w:tc>
        <w:tc>
          <w:tcPr>
            <w:tcW w:w="1960" w:type="dxa"/>
            <w:gridSpan w:val="2"/>
            <w:tcBorders>
              <w:top w:val="single" w:color="auto" w:sz="4" w:space="0"/>
              <w:left w:val="nil"/>
              <w:bottom w:val="single" w:color="auto" w:sz="4" w:space="0"/>
              <w:right w:val="single" w:color="auto" w:sz="4" w:space="0"/>
            </w:tcBorders>
          </w:tcPr>
          <w:p>
            <w:pPr>
              <w:jc w:val="left"/>
              <w:rPr>
                <w:rFonts w:asciiTheme="minorEastAsia" w:hAnsiTheme="minorEastAsia" w:eastAsiaTheme="minorEastAsia"/>
                <w:sz w:val="20"/>
                <w:szCs w:val="20"/>
              </w:rPr>
            </w:pPr>
            <w:r>
              <w:rPr>
                <w:rFonts w:hint="eastAsia" w:asciiTheme="minorEastAsia" w:hAnsiTheme="minorEastAsia" w:eastAsiaTheme="minorEastAsia"/>
                <w:sz w:val="20"/>
                <w:szCs w:val="20"/>
              </w:rPr>
              <w:t>法律援助案件保障民生改变，司法公正</w:t>
            </w:r>
          </w:p>
        </w:tc>
        <w:tc>
          <w:tcPr>
            <w:tcW w:w="206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hint="eastAsia" w:cs="宋体" w:asciiTheme="minorEastAsia" w:hAnsiTheme="minorEastAsia" w:eastAsiaTheme="minorEastAsia"/>
                <w:kern w:val="0"/>
                <w:sz w:val="20"/>
                <w:szCs w:val="20"/>
              </w:rPr>
              <w:t>98</w:t>
            </w:r>
            <w:r>
              <w:rPr>
                <w:rFonts w:asciiTheme="minorEastAsia" w:hAnsiTheme="minorEastAsia" w:eastAsiaTheme="minorEastAsia"/>
                <w:sz w:val="20"/>
                <w:szCs w:val="20"/>
              </w:rPr>
              <w:t>%</w:t>
            </w:r>
          </w:p>
        </w:tc>
        <w:tc>
          <w:tcPr>
            <w:tcW w:w="178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98</w:t>
            </w:r>
            <w:r>
              <w:rPr>
                <w:rFonts w:cs="宋体" w:asciiTheme="minorEastAsia" w:hAnsiTheme="minorEastAsia" w:eastAsiaTheme="minorEastAsia"/>
                <w:kern w:val="0"/>
                <w:sz w:val="20"/>
                <w:szCs w:val="20"/>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960" w:type="dxa"/>
            <w:gridSpan w:val="2"/>
            <w:tcBorders>
              <w:top w:val="single" w:color="auto" w:sz="4" w:space="0"/>
              <w:left w:val="nil"/>
              <w:bottom w:val="single" w:color="auto" w:sz="4" w:space="0"/>
              <w:right w:val="single" w:color="auto" w:sz="4" w:space="0"/>
            </w:tcBorders>
          </w:tcPr>
          <w:p>
            <w:pPr>
              <w:jc w:val="left"/>
              <w:rPr>
                <w:rFonts w:asciiTheme="minorEastAsia" w:hAnsiTheme="minorEastAsia" w:eastAsiaTheme="minorEastAsia"/>
                <w:sz w:val="20"/>
                <w:szCs w:val="20"/>
              </w:rPr>
            </w:pPr>
            <w:r>
              <w:rPr>
                <w:rFonts w:cs="Arial" w:asciiTheme="minorEastAsia" w:hAnsiTheme="minorEastAsia" w:eastAsiaTheme="minorEastAsia"/>
                <w:color w:val="000000"/>
                <w:sz w:val="20"/>
                <w:szCs w:val="20"/>
              </w:rPr>
              <w:t>有力地提升了法律援助工作的社会认知度</w:t>
            </w:r>
          </w:p>
        </w:tc>
        <w:tc>
          <w:tcPr>
            <w:tcW w:w="206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hint="eastAsia" w:cs="宋体" w:asciiTheme="minorEastAsia" w:hAnsiTheme="minorEastAsia" w:eastAsiaTheme="minorEastAsia"/>
                <w:kern w:val="0"/>
                <w:sz w:val="20"/>
                <w:szCs w:val="20"/>
              </w:rPr>
              <w:t>98</w:t>
            </w:r>
            <w:r>
              <w:rPr>
                <w:rFonts w:asciiTheme="minorEastAsia" w:hAnsiTheme="minorEastAsia" w:eastAsiaTheme="minorEastAsia"/>
                <w:sz w:val="20"/>
                <w:szCs w:val="20"/>
              </w:rPr>
              <w:t>%</w:t>
            </w:r>
          </w:p>
        </w:tc>
        <w:tc>
          <w:tcPr>
            <w:tcW w:w="1780" w:type="dxa"/>
            <w:tcBorders>
              <w:top w:val="nil"/>
              <w:left w:val="nil"/>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98</w:t>
            </w:r>
            <w:r>
              <w:rPr>
                <w:rFonts w:asciiTheme="minorEastAsia" w:hAnsiTheme="minorEastAsia" w:eastAsiaTheme="minorEastAsia"/>
                <w:sz w:val="20"/>
                <w:szCs w:val="20"/>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r>
              <w:rPr>
                <w:rFonts w:cs="Arial" w:asciiTheme="minorEastAsia" w:hAnsiTheme="minorEastAsia" w:eastAsiaTheme="minorEastAsia"/>
                <w:color w:val="000000"/>
                <w:sz w:val="20"/>
                <w:szCs w:val="20"/>
              </w:rPr>
              <w:t>维护社会和谐稳定中发挥重要作用。</w:t>
            </w:r>
          </w:p>
        </w:tc>
        <w:tc>
          <w:tcPr>
            <w:tcW w:w="206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98</w:t>
            </w:r>
            <w:r>
              <w:rPr>
                <w:rFonts w:asciiTheme="minorEastAsia" w:hAnsiTheme="minorEastAsia" w:eastAsiaTheme="minorEastAsia"/>
                <w:sz w:val="20"/>
                <w:szCs w:val="20"/>
              </w:rPr>
              <w:t>%</w:t>
            </w:r>
          </w:p>
        </w:tc>
        <w:tc>
          <w:tcPr>
            <w:tcW w:w="178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98</w:t>
            </w:r>
            <w:r>
              <w:rPr>
                <w:rFonts w:asciiTheme="minorEastAsia" w:hAnsiTheme="minorEastAsia" w:eastAsiaTheme="minorEastAsia"/>
                <w:sz w:val="20"/>
                <w:szCs w:val="20"/>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生态效益指标</w:t>
            </w:r>
          </w:p>
        </w:tc>
        <w:tc>
          <w:tcPr>
            <w:tcW w:w="1960" w:type="dxa"/>
            <w:gridSpan w:val="2"/>
            <w:tcBorders>
              <w:top w:val="single" w:color="auto" w:sz="4" w:space="0"/>
              <w:left w:val="nil"/>
              <w:bottom w:val="single" w:color="auto" w:sz="4" w:space="0"/>
              <w:right w:val="single" w:color="auto" w:sz="4" w:space="0"/>
            </w:tcBorders>
          </w:tcPr>
          <w:p>
            <w:pPr>
              <w:jc w:val="left"/>
              <w:rPr>
                <w:rFonts w:asciiTheme="minorEastAsia" w:hAnsiTheme="minorEastAsia" w:eastAsiaTheme="minorEastAsia"/>
                <w:sz w:val="20"/>
                <w:szCs w:val="20"/>
              </w:rPr>
            </w:pPr>
          </w:p>
        </w:tc>
        <w:tc>
          <w:tcPr>
            <w:tcW w:w="206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p>
        </w:tc>
        <w:tc>
          <w:tcPr>
            <w:tcW w:w="1780" w:type="dxa"/>
            <w:tcBorders>
              <w:top w:val="nil"/>
              <w:left w:val="nil"/>
              <w:bottom w:val="single" w:color="auto" w:sz="4" w:space="0"/>
              <w:right w:val="single" w:color="auto" w:sz="4" w:space="0"/>
            </w:tcBorders>
            <w:vAlign w:val="center"/>
          </w:tcPr>
          <w:p>
            <w:pPr>
              <w:widowControl/>
              <w:ind w:firstLine="400" w:firstLineChars="200"/>
              <w:jc w:val="center"/>
              <w:rPr>
                <w:rFonts w:cs="宋体" w:asciiTheme="minorEastAsia" w:hAnsiTheme="minorEastAsia" w:eastAsiaTheme="minorEastAsia"/>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可持续影响指标</w:t>
            </w:r>
          </w:p>
        </w:tc>
        <w:tc>
          <w:tcPr>
            <w:tcW w:w="1960" w:type="dxa"/>
            <w:gridSpan w:val="2"/>
            <w:tcBorders>
              <w:top w:val="single" w:color="auto" w:sz="4" w:space="0"/>
              <w:left w:val="nil"/>
              <w:bottom w:val="single" w:color="auto" w:sz="4" w:space="0"/>
              <w:right w:val="single" w:color="auto" w:sz="4" w:space="0"/>
            </w:tcBorders>
          </w:tcPr>
          <w:p>
            <w:pPr>
              <w:jc w:val="left"/>
              <w:rPr>
                <w:rFonts w:asciiTheme="minorEastAsia" w:hAnsiTheme="minorEastAsia" w:eastAsiaTheme="minorEastAsia"/>
                <w:sz w:val="20"/>
                <w:szCs w:val="20"/>
              </w:rPr>
            </w:pPr>
            <w:r>
              <w:rPr>
                <w:rFonts w:asciiTheme="minorEastAsia" w:hAnsiTheme="minorEastAsia" w:eastAsiaTheme="minorEastAsia"/>
                <w:sz w:val="20"/>
                <w:szCs w:val="20"/>
              </w:rPr>
              <w:t>项目持续时长</w:t>
            </w:r>
          </w:p>
        </w:tc>
        <w:tc>
          <w:tcPr>
            <w:tcW w:w="206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1年</w:t>
            </w:r>
          </w:p>
        </w:tc>
        <w:tc>
          <w:tcPr>
            <w:tcW w:w="178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满意度指标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tcPr>
          <w:p>
            <w:pPr>
              <w:jc w:val="left"/>
              <w:rPr>
                <w:rFonts w:asciiTheme="minorEastAsia" w:hAnsiTheme="minorEastAsia" w:eastAsiaTheme="minorEastAsia"/>
                <w:sz w:val="20"/>
                <w:szCs w:val="20"/>
              </w:rPr>
            </w:pPr>
            <w:r>
              <w:rPr>
                <w:rFonts w:asciiTheme="minorEastAsia" w:hAnsiTheme="minorEastAsia" w:eastAsiaTheme="minorEastAsia"/>
                <w:sz w:val="20"/>
                <w:szCs w:val="20"/>
              </w:rPr>
              <w:t>干群满意度</w:t>
            </w:r>
          </w:p>
        </w:tc>
        <w:tc>
          <w:tcPr>
            <w:tcW w:w="206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≥98</w:t>
            </w:r>
            <w:r>
              <w:rPr>
                <w:rFonts w:asciiTheme="minorEastAsia" w:hAnsiTheme="minorEastAsia" w:eastAsiaTheme="minorEastAsia"/>
                <w:sz w:val="20"/>
                <w:szCs w:val="20"/>
              </w:rPr>
              <w:t>%</w:t>
            </w:r>
          </w:p>
        </w:tc>
        <w:tc>
          <w:tcPr>
            <w:tcW w:w="1780"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98</w:t>
            </w:r>
            <w:r>
              <w:rPr>
                <w:rFonts w:asciiTheme="minorEastAsia" w:hAnsiTheme="minorEastAsia" w:eastAsiaTheme="minorEastAsia"/>
                <w:sz w:val="20"/>
                <w:szCs w:val="20"/>
              </w:rPr>
              <w:t>%</w:t>
            </w:r>
          </w:p>
        </w:tc>
      </w:tr>
    </w:tbl>
    <w:p>
      <w:pPr>
        <w:spacing w:line="540" w:lineRule="exact"/>
        <w:ind w:firstLine="567"/>
        <w:rPr>
          <w:rStyle w:val="18"/>
          <w:rFonts w:asciiTheme="minorEastAsia" w:hAnsiTheme="minorEastAsia" w:eastAsiaTheme="minorEastAsia"/>
          <w:b w:val="0"/>
          <w:spacing w:val="-4"/>
          <w:sz w:val="20"/>
          <w:szCs w:val="20"/>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方正粗黑宋简体">
    <w:panose1 w:val="02000000000000000000"/>
    <w:charset w:val="86"/>
    <w:family w:val="auto"/>
    <w:pitch w:val="default"/>
    <w:sig w:usb0="A00002BF" w:usb1="184F6CFA" w:usb2="00000012"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7</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11554"/>
    <w:rsid w:val="00026351"/>
    <w:rsid w:val="00056465"/>
    <w:rsid w:val="00095143"/>
    <w:rsid w:val="000B67CD"/>
    <w:rsid w:val="000B693B"/>
    <w:rsid w:val="000E443C"/>
    <w:rsid w:val="001029BE"/>
    <w:rsid w:val="0011237A"/>
    <w:rsid w:val="00115756"/>
    <w:rsid w:val="00121AE4"/>
    <w:rsid w:val="00135BA7"/>
    <w:rsid w:val="00144BA9"/>
    <w:rsid w:val="00146AAD"/>
    <w:rsid w:val="001512D7"/>
    <w:rsid w:val="001551F1"/>
    <w:rsid w:val="00161CA4"/>
    <w:rsid w:val="00191E7A"/>
    <w:rsid w:val="001968E4"/>
    <w:rsid w:val="001B1B66"/>
    <w:rsid w:val="001B3A40"/>
    <w:rsid w:val="001C5790"/>
    <w:rsid w:val="001D0E90"/>
    <w:rsid w:val="001D3342"/>
    <w:rsid w:val="002233A2"/>
    <w:rsid w:val="002360A7"/>
    <w:rsid w:val="00261BA6"/>
    <w:rsid w:val="002E63F8"/>
    <w:rsid w:val="00307F71"/>
    <w:rsid w:val="003309BE"/>
    <w:rsid w:val="0035749A"/>
    <w:rsid w:val="00357F6A"/>
    <w:rsid w:val="003630B9"/>
    <w:rsid w:val="003717F2"/>
    <w:rsid w:val="003C18BC"/>
    <w:rsid w:val="003F730A"/>
    <w:rsid w:val="00410049"/>
    <w:rsid w:val="004141C8"/>
    <w:rsid w:val="004366A8"/>
    <w:rsid w:val="00464900"/>
    <w:rsid w:val="00477FAA"/>
    <w:rsid w:val="00502BA7"/>
    <w:rsid w:val="005162F1"/>
    <w:rsid w:val="00525DD9"/>
    <w:rsid w:val="00535153"/>
    <w:rsid w:val="00542434"/>
    <w:rsid w:val="00554F82"/>
    <w:rsid w:val="005575A3"/>
    <w:rsid w:val="0056390D"/>
    <w:rsid w:val="005719B0"/>
    <w:rsid w:val="00597BD5"/>
    <w:rsid w:val="005A4866"/>
    <w:rsid w:val="005D10D6"/>
    <w:rsid w:val="00677944"/>
    <w:rsid w:val="006B5181"/>
    <w:rsid w:val="006C72C9"/>
    <w:rsid w:val="006E1C7A"/>
    <w:rsid w:val="006E4897"/>
    <w:rsid w:val="00727783"/>
    <w:rsid w:val="00751CC2"/>
    <w:rsid w:val="00756282"/>
    <w:rsid w:val="0076317B"/>
    <w:rsid w:val="00777BE9"/>
    <w:rsid w:val="007806A5"/>
    <w:rsid w:val="007C102C"/>
    <w:rsid w:val="007D1D4C"/>
    <w:rsid w:val="00820C84"/>
    <w:rsid w:val="00855E3A"/>
    <w:rsid w:val="00922CB9"/>
    <w:rsid w:val="009263C2"/>
    <w:rsid w:val="00957016"/>
    <w:rsid w:val="009B1EC9"/>
    <w:rsid w:val="009B44B0"/>
    <w:rsid w:val="009C4359"/>
    <w:rsid w:val="009E08EF"/>
    <w:rsid w:val="009E5CD9"/>
    <w:rsid w:val="009E7634"/>
    <w:rsid w:val="00A256EA"/>
    <w:rsid w:val="00A26421"/>
    <w:rsid w:val="00A337BA"/>
    <w:rsid w:val="00A4293B"/>
    <w:rsid w:val="00A65F0B"/>
    <w:rsid w:val="00A67D50"/>
    <w:rsid w:val="00A8691A"/>
    <w:rsid w:val="00AC1946"/>
    <w:rsid w:val="00B301D3"/>
    <w:rsid w:val="00B40063"/>
    <w:rsid w:val="00B41F61"/>
    <w:rsid w:val="00B605FA"/>
    <w:rsid w:val="00B93E27"/>
    <w:rsid w:val="00BA46E6"/>
    <w:rsid w:val="00BF1D59"/>
    <w:rsid w:val="00C2620D"/>
    <w:rsid w:val="00C363EB"/>
    <w:rsid w:val="00C425E3"/>
    <w:rsid w:val="00C56C72"/>
    <w:rsid w:val="00CA6457"/>
    <w:rsid w:val="00CD7A14"/>
    <w:rsid w:val="00D17F2E"/>
    <w:rsid w:val="00D30354"/>
    <w:rsid w:val="00D37A4C"/>
    <w:rsid w:val="00D82E36"/>
    <w:rsid w:val="00D87ED8"/>
    <w:rsid w:val="00DF155A"/>
    <w:rsid w:val="00DF42A0"/>
    <w:rsid w:val="00E036B3"/>
    <w:rsid w:val="00E160F1"/>
    <w:rsid w:val="00E46C51"/>
    <w:rsid w:val="00E536C8"/>
    <w:rsid w:val="00E57AAC"/>
    <w:rsid w:val="00E769FE"/>
    <w:rsid w:val="00EA2CBE"/>
    <w:rsid w:val="00ED0D99"/>
    <w:rsid w:val="00F32FEE"/>
    <w:rsid w:val="00F33824"/>
    <w:rsid w:val="00F61471"/>
    <w:rsid w:val="00F64C4E"/>
    <w:rsid w:val="00F7611C"/>
    <w:rsid w:val="00FB10BB"/>
    <w:rsid w:val="00FB1CCB"/>
    <w:rsid w:val="08142C3A"/>
    <w:rsid w:val="0C914A9D"/>
    <w:rsid w:val="10161D8C"/>
    <w:rsid w:val="1EC37CCF"/>
    <w:rsid w:val="2D242321"/>
    <w:rsid w:val="340A6278"/>
    <w:rsid w:val="3CC51859"/>
    <w:rsid w:val="3E7A4126"/>
    <w:rsid w:val="46D452D2"/>
    <w:rsid w:val="499E68C3"/>
    <w:rsid w:val="4E2D0AB7"/>
    <w:rsid w:val="553C40C4"/>
    <w:rsid w:val="55726208"/>
    <w:rsid w:val="63C42FF6"/>
    <w:rsid w:val="666B0A1B"/>
    <w:rsid w:val="6A086461"/>
    <w:rsid w:val="70C1568A"/>
    <w:rsid w:val="74BC4E5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99"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4"/>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5"/>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6"/>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7"/>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8"/>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9"/>
    <w:qFormat/>
    <w:uiPriority w:val="99"/>
    <w:pPr>
      <w:widowControl/>
      <w:spacing w:before="240" w:after="60"/>
      <w:jc w:val="left"/>
      <w:outlineLvl w:val="6"/>
    </w:pPr>
    <w:rPr>
      <w:rFonts w:ascii="Calibri" w:hAnsi="Calibri"/>
      <w:kern w:val="0"/>
      <w:sz w:val="24"/>
    </w:rPr>
  </w:style>
  <w:style w:type="paragraph" w:styleId="9">
    <w:name w:val="heading 8"/>
    <w:basedOn w:val="1"/>
    <w:next w:val="1"/>
    <w:link w:val="30"/>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1"/>
    <w:qFormat/>
    <w:uiPriority w:val="99"/>
    <w:pPr>
      <w:widowControl/>
      <w:spacing w:before="240" w:after="60"/>
      <w:jc w:val="left"/>
      <w:outlineLvl w:val="8"/>
    </w:pPr>
    <w:rPr>
      <w:rFonts w:ascii="Cambria" w:hAnsi="Cambria"/>
      <w:kern w:val="0"/>
      <w:sz w:val="22"/>
      <w:szCs w:val="22"/>
    </w:rPr>
  </w:style>
  <w:style w:type="character" w:default="1" w:styleId="17">
    <w:name w:val="Default Paragraph Font"/>
    <w:unhideWhenUsed/>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32"/>
    <w:semiHidden/>
    <w:qFormat/>
    <w:uiPriority w:val="99"/>
    <w:rPr>
      <w:sz w:val="18"/>
      <w:szCs w:val="18"/>
    </w:rPr>
  </w:style>
  <w:style w:type="paragraph" w:styleId="12">
    <w:name w:val="footer"/>
    <w:basedOn w:val="1"/>
    <w:link w:val="33"/>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4"/>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5"/>
    <w:qFormat/>
    <w:uiPriority w:val="99"/>
    <w:pPr>
      <w:widowControl/>
      <w:spacing w:after="60"/>
      <w:jc w:val="center"/>
      <w:outlineLvl w:val="1"/>
    </w:pPr>
    <w:rPr>
      <w:rFonts w:ascii="Cambria" w:hAnsi="Cambr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0"/>
    <w:rPr>
      <w:rFonts w:cs="Times New Roman"/>
      <w:b/>
      <w:bCs/>
    </w:rPr>
  </w:style>
  <w:style w:type="character" w:styleId="19">
    <w:name w:val="FollowedHyperlink"/>
    <w:basedOn w:val="17"/>
    <w:unhideWhenUsed/>
    <w:uiPriority w:val="99"/>
    <w:rPr>
      <w:color w:val="000000"/>
      <w:u w:val="none"/>
    </w:rPr>
  </w:style>
  <w:style w:type="character" w:styleId="20">
    <w:name w:val="Emphasis"/>
    <w:basedOn w:val="17"/>
    <w:qFormat/>
    <w:uiPriority w:val="99"/>
    <w:rPr>
      <w:rFonts w:ascii="Calibri" w:hAnsi="Calibri" w:cs="Times New Roman"/>
      <w:b/>
      <w:i/>
      <w:iCs/>
    </w:rPr>
  </w:style>
  <w:style w:type="character" w:styleId="21">
    <w:name w:val="Hyperlink"/>
    <w:basedOn w:val="17"/>
    <w:unhideWhenUsed/>
    <w:qFormat/>
    <w:uiPriority w:val="99"/>
    <w:rPr>
      <w:color w:val="000000"/>
      <w:u w:val="none"/>
    </w:rPr>
  </w:style>
  <w:style w:type="character" w:customStyle="1" w:styleId="23">
    <w:name w:val="标题 1 Char"/>
    <w:basedOn w:val="17"/>
    <w:link w:val="2"/>
    <w:locked/>
    <w:uiPriority w:val="99"/>
    <w:rPr>
      <w:rFonts w:ascii="Cambria" w:hAnsi="Cambria" w:eastAsia="宋体" w:cs="Times New Roman"/>
      <w:b/>
      <w:bCs/>
      <w:kern w:val="32"/>
      <w:sz w:val="32"/>
      <w:szCs w:val="32"/>
    </w:rPr>
  </w:style>
  <w:style w:type="character" w:customStyle="1" w:styleId="24">
    <w:name w:val="标题 2 Char"/>
    <w:basedOn w:val="17"/>
    <w:link w:val="3"/>
    <w:semiHidden/>
    <w:locked/>
    <w:uiPriority w:val="99"/>
    <w:rPr>
      <w:rFonts w:ascii="Cambria" w:hAnsi="Cambria" w:eastAsia="宋体" w:cs="Times New Roman"/>
      <w:b/>
      <w:bCs/>
      <w:i/>
      <w:iCs/>
      <w:sz w:val="28"/>
      <w:szCs w:val="28"/>
    </w:rPr>
  </w:style>
  <w:style w:type="character" w:customStyle="1" w:styleId="25">
    <w:name w:val="标题 3 Char"/>
    <w:basedOn w:val="17"/>
    <w:link w:val="4"/>
    <w:semiHidden/>
    <w:qFormat/>
    <w:locked/>
    <w:uiPriority w:val="99"/>
    <w:rPr>
      <w:rFonts w:ascii="Cambria" w:hAnsi="Cambria" w:eastAsia="宋体" w:cs="Times New Roman"/>
      <w:b/>
      <w:bCs/>
      <w:sz w:val="26"/>
      <w:szCs w:val="26"/>
    </w:rPr>
  </w:style>
  <w:style w:type="character" w:customStyle="1" w:styleId="26">
    <w:name w:val="标题 4 Char"/>
    <w:basedOn w:val="17"/>
    <w:link w:val="5"/>
    <w:semiHidden/>
    <w:qFormat/>
    <w:locked/>
    <w:uiPriority w:val="99"/>
    <w:rPr>
      <w:rFonts w:cs="Times New Roman"/>
      <w:b/>
      <w:bCs/>
      <w:sz w:val="28"/>
      <w:szCs w:val="28"/>
    </w:rPr>
  </w:style>
  <w:style w:type="character" w:customStyle="1" w:styleId="27">
    <w:name w:val="标题 5 Char"/>
    <w:basedOn w:val="17"/>
    <w:link w:val="6"/>
    <w:semiHidden/>
    <w:qFormat/>
    <w:locked/>
    <w:uiPriority w:val="99"/>
    <w:rPr>
      <w:rFonts w:cs="Times New Roman"/>
      <w:b/>
      <w:bCs/>
      <w:i/>
      <w:iCs/>
      <w:sz w:val="26"/>
      <w:szCs w:val="26"/>
    </w:rPr>
  </w:style>
  <w:style w:type="character" w:customStyle="1" w:styleId="28">
    <w:name w:val="标题 6 Char"/>
    <w:basedOn w:val="17"/>
    <w:link w:val="7"/>
    <w:semiHidden/>
    <w:locked/>
    <w:uiPriority w:val="99"/>
    <w:rPr>
      <w:rFonts w:cs="Times New Roman"/>
      <w:b/>
      <w:bCs/>
    </w:rPr>
  </w:style>
  <w:style w:type="character" w:customStyle="1" w:styleId="29">
    <w:name w:val="标题 7 Char"/>
    <w:basedOn w:val="17"/>
    <w:link w:val="8"/>
    <w:semiHidden/>
    <w:qFormat/>
    <w:locked/>
    <w:uiPriority w:val="99"/>
    <w:rPr>
      <w:rFonts w:cs="Times New Roman"/>
      <w:sz w:val="24"/>
      <w:szCs w:val="24"/>
    </w:rPr>
  </w:style>
  <w:style w:type="character" w:customStyle="1" w:styleId="30">
    <w:name w:val="标题 8 Char"/>
    <w:basedOn w:val="17"/>
    <w:link w:val="9"/>
    <w:semiHidden/>
    <w:qFormat/>
    <w:locked/>
    <w:uiPriority w:val="99"/>
    <w:rPr>
      <w:rFonts w:cs="Times New Roman"/>
      <w:i/>
      <w:iCs/>
      <w:sz w:val="24"/>
      <w:szCs w:val="24"/>
    </w:rPr>
  </w:style>
  <w:style w:type="character" w:customStyle="1" w:styleId="31">
    <w:name w:val="标题 9 Char"/>
    <w:basedOn w:val="17"/>
    <w:link w:val="10"/>
    <w:semiHidden/>
    <w:qFormat/>
    <w:locked/>
    <w:uiPriority w:val="99"/>
    <w:rPr>
      <w:rFonts w:ascii="Cambria" w:hAnsi="Cambria" w:eastAsia="宋体" w:cs="Times New Roman"/>
    </w:rPr>
  </w:style>
  <w:style w:type="character" w:customStyle="1" w:styleId="32">
    <w:name w:val="批注框文本 Char"/>
    <w:basedOn w:val="17"/>
    <w:link w:val="11"/>
    <w:semiHidden/>
    <w:qFormat/>
    <w:locked/>
    <w:uiPriority w:val="99"/>
    <w:rPr>
      <w:rFonts w:ascii="Times New Roman" w:hAnsi="Times New Roman" w:eastAsia="宋体" w:cs="Times New Roman"/>
      <w:kern w:val="2"/>
      <w:sz w:val="18"/>
      <w:szCs w:val="18"/>
    </w:rPr>
  </w:style>
  <w:style w:type="character" w:customStyle="1" w:styleId="33">
    <w:name w:val="页脚 Char"/>
    <w:basedOn w:val="17"/>
    <w:link w:val="12"/>
    <w:qFormat/>
    <w:locked/>
    <w:uiPriority w:val="99"/>
    <w:rPr>
      <w:rFonts w:ascii="Calibri" w:hAnsi="Calibri" w:eastAsia="宋体" w:cs="Times New Roman"/>
      <w:kern w:val="2"/>
      <w:sz w:val="18"/>
      <w:szCs w:val="18"/>
    </w:rPr>
  </w:style>
  <w:style w:type="character" w:customStyle="1" w:styleId="34">
    <w:name w:val="页眉 Char"/>
    <w:basedOn w:val="17"/>
    <w:link w:val="13"/>
    <w:qFormat/>
    <w:locked/>
    <w:uiPriority w:val="99"/>
    <w:rPr>
      <w:rFonts w:ascii="Calibri" w:hAnsi="Calibri" w:eastAsia="宋体" w:cs="Times New Roman"/>
      <w:kern w:val="2"/>
      <w:sz w:val="18"/>
      <w:szCs w:val="18"/>
    </w:rPr>
  </w:style>
  <w:style w:type="character" w:customStyle="1" w:styleId="35">
    <w:name w:val="副标题 Char"/>
    <w:basedOn w:val="17"/>
    <w:link w:val="14"/>
    <w:qFormat/>
    <w:locked/>
    <w:uiPriority w:val="99"/>
    <w:rPr>
      <w:rFonts w:ascii="Cambria" w:hAnsi="Cambria" w:eastAsia="宋体" w:cs="Times New Roman"/>
      <w:sz w:val="24"/>
      <w:szCs w:val="24"/>
    </w:rPr>
  </w:style>
  <w:style w:type="character" w:customStyle="1" w:styleId="36">
    <w:name w:val="标题 Char"/>
    <w:basedOn w:val="17"/>
    <w:link w:val="16"/>
    <w:qFormat/>
    <w:locked/>
    <w:uiPriority w:val="99"/>
    <w:rPr>
      <w:rFonts w:ascii="Cambria" w:hAnsi="Cambria" w:eastAsia="宋体" w:cs="Times New Roman"/>
      <w:b/>
      <w:bCs/>
      <w:kern w:val="28"/>
      <w:sz w:val="32"/>
      <w:szCs w:val="32"/>
    </w:rPr>
  </w:style>
  <w:style w:type="paragraph" w:customStyle="1" w:styleId="37">
    <w:name w:val="No Spacing"/>
    <w:basedOn w:val="1"/>
    <w:qFormat/>
    <w:uiPriority w:val="99"/>
    <w:pPr>
      <w:widowControl/>
      <w:jc w:val="left"/>
    </w:pPr>
    <w:rPr>
      <w:rFonts w:ascii="Calibri" w:hAnsi="Calibri"/>
      <w:kern w:val="0"/>
      <w:sz w:val="24"/>
      <w:szCs w:val="32"/>
      <w:lang w:eastAsia="en-US"/>
    </w:rPr>
  </w:style>
  <w:style w:type="paragraph" w:customStyle="1" w:styleId="38">
    <w:name w:val="List Paragraph"/>
    <w:basedOn w:val="1"/>
    <w:qFormat/>
    <w:uiPriority w:val="99"/>
    <w:pPr>
      <w:widowControl/>
      <w:ind w:left="720"/>
      <w:contextualSpacing/>
      <w:jc w:val="left"/>
    </w:pPr>
    <w:rPr>
      <w:rFonts w:ascii="Calibri" w:hAnsi="Calibri"/>
      <w:kern w:val="0"/>
      <w:sz w:val="24"/>
      <w:lang w:eastAsia="en-US"/>
    </w:rPr>
  </w:style>
  <w:style w:type="paragraph" w:customStyle="1" w:styleId="39">
    <w:name w:val="Quote"/>
    <w:basedOn w:val="1"/>
    <w:next w:val="1"/>
    <w:link w:val="40"/>
    <w:qFormat/>
    <w:uiPriority w:val="99"/>
    <w:pPr>
      <w:widowControl/>
      <w:jc w:val="left"/>
    </w:pPr>
    <w:rPr>
      <w:rFonts w:ascii="Calibri" w:hAnsi="Calibri"/>
      <w:i/>
      <w:kern w:val="0"/>
      <w:sz w:val="24"/>
    </w:rPr>
  </w:style>
  <w:style w:type="character" w:customStyle="1" w:styleId="40">
    <w:name w:val="引用 Char"/>
    <w:basedOn w:val="17"/>
    <w:link w:val="39"/>
    <w:qFormat/>
    <w:locked/>
    <w:uiPriority w:val="99"/>
    <w:rPr>
      <w:rFonts w:cs="Times New Roman"/>
      <w:i/>
      <w:sz w:val="24"/>
      <w:szCs w:val="24"/>
    </w:rPr>
  </w:style>
  <w:style w:type="paragraph" w:customStyle="1" w:styleId="41">
    <w:name w:val="Intense Quote"/>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明显引用 Char"/>
    <w:basedOn w:val="17"/>
    <w:link w:val="41"/>
    <w:qFormat/>
    <w:locked/>
    <w:uiPriority w:val="99"/>
    <w:rPr>
      <w:rFonts w:cs="Times New Roman"/>
      <w:b/>
      <w:i/>
      <w:sz w:val="24"/>
    </w:rPr>
  </w:style>
  <w:style w:type="character" w:customStyle="1" w:styleId="43">
    <w:name w:val="不明显强调1"/>
    <w:qFormat/>
    <w:uiPriority w:val="99"/>
    <w:rPr>
      <w:i/>
      <w:color w:val="595959"/>
    </w:rPr>
  </w:style>
  <w:style w:type="character" w:customStyle="1" w:styleId="44">
    <w:name w:val="明显强调1"/>
    <w:basedOn w:val="17"/>
    <w:uiPriority w:val="99"/>
    <w:rPr>
      <w:rFonts w:cs="Times New Roman"/>
      <w:b/>
      <w:i/>
      <w:sz w:val="24"/>
      <w:szCs w:val="24"/>
      <w:u w:val="single"/>
    </w:rPr>
  </w:style>
  <w:style w:type="character" w:customStyle="1" w:styleId="45">
    <w:name w:val="不明显参考1"/>
    <w:basedOn w:val="17"/>
    <w:qFormat/>
    <w:uiPriority w:val="99"/>
    <w:rPr>
      <w:rFonts w:cs="Times New Roman"/>
      <w:sz w:val="24"/>
      <w:szCs w:val="24"/>
      <w:u w:val="single"/>
    </w:rPr>
  </w:style>
  <w:style w:type="character" w:customStyle="1" w:styleId="46">
    <w:name w:val="明显参考1"/>
    <w:basedOn w:val="17"/>
    <w:qFormat/>
    <w:uiPriority w:val="99"/>
    <w:rPr>
      <w:rFonts w:cs="Times New Roman"/>
      <w:b/>
      <w:sz w:val="24"/>
      <w:u w:val="single"/>
    </w:rPr>
  </w:style>
  <w:style w:type="character" w:customStyle="1" w:styleId="47">
    <w:name w:val="书籍标题1"/>
    <w:basedOn w:val="17"/>
    <w:qFormat/>
    <w:uiPriority w:val="99"/>
    <w:rPr>
      <w:rFonts w:ascii="Cambria" w:hAnsi="Cambria" w:eastAsia="宋体" w:cs="Times New Roman"/>
      <w:b/>
      <w:i/>
      <w:sz w:val="24"/>
      <w:szCs w:val="24"/>
    </w:rPr>
  </w:style>
  <w:style w:type="paragraph" w:customStyle="1" w:styleId="48">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3072</Words>
  <Characters>414</Characters>
  <Lines>3</Lines>
  <Paragraphs>6</Paragraphs>
  <TotalTime>0</TotalTime>
  <ScaleCrop>false</ScaleCrop>
  <LinksUpToDate>false</LinksUpToDate>
  <CharactersWithSpaces>3480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2019-10-25T03:46:18Z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