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jc w:val="left"/>
        <w:rPr>
          <w:rFonts w:ascii="仿宋" w:hAnsi="仿宋" w:eastAsia="仿宋" w:cs="宋体"/>
          <w:sz w:val="24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项目名称：其他司法支出经费项目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实施单位（公章）：玛纳斯县司法局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项目负责人（签章）：李兆曾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 xml:space="preserve">    2018 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12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31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  <w:t>玛纳斯县司法局成立于1986年8月，政法专项编制16人，实有在编人员12人，事业编制5人，实有事业在编管理岗人员1人，退休人员17人。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  <w:t>1、绩效总目标：按照国家政策法规规定和部门实际情况，建立健全财务基础管理制度和约束机制，依法、有效地使用财政资金，提高财政资金使用效率，在完成部门职能目标中合理分配人，财、物，使这达到较高的工作效率和水平。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  <w:t>2、社会效益总目标：围绕县委和政府的中心任务开展工作，促进社会和谐、经济发展、社会文明进步，为维护改革发展稳定的大局服务。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  <w:t>根据2018年我局实际，本年度本项目财政拨款资金安排为92.76元，全部拨付到位，资金到位率100%。我局认真健全矛盾纠纷排查调解机制，深入开展人民调解活动，切实筑牢“第一道防线”使人民调解在维护社会和谐中彰显重要职能。一是落实调解制度、进一步落实和完善了矛盾纠纷排查调处制度，规范了各类排查台账，健全了矛盾纠纷信息报送制度和疑难复杂纠纷联合调处制度，促使所有矛盾纠纷得到及时化解。二是开展专项调解活动，继续深入开展“人民调解化纠纷、防范风险促发展”专项活动，截至目前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  <w:t>，全县共调解矛盾纠纷1203起，调解率100％，成功率100％。三是着力推动行业性、专业性人民调解功能建设，五是强化人民调解工作保障，落实 “一案定补”经费4万余元。有效的提高了广大人民调解员的积极性。六是加大基层基础设施建设投入。今年我局投入近15万元用于乡镇司法所及公共法律服务建设。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  <w:t>2018年我局项目资金92.76万元主要用于支付单位办公费  20.2万元元、印刷费 3.56  万元、手续费0.5万元、水费 1.9万元、电费 2.1、邮电费 0.6万元、取暖费3.1万元、差旅费   10.2万元、培训费 2.3万元元、劳务费 8.9万元、公务用车费15.2其他商品和服务支出 26.64 万元。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  <w:t>1、促和谐，探索特殊人员管理工作新方法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  <w:t>我局充分发挥社区矫正、安置帮教在维护社会大局稳定中的特殊作用。一是严格社区矫正管理，截至2018年12月，我县累计接收社区矫正人员135人，解除矫正102人。二是安置帮教工作全部建立了个人档案，签订了“责任状”。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  <w:t>2、法律援助、公证和律师充分发挥法律服务功能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  <w:t>一是围绕弱势群体加大法律援助力度。进一步完善法律援助服务功能，降低援助门槛，扩大援助范围。到目前为止，共办理法律援助案件30件，其中刑事案件8起，民事案件22起，为困难群众提供了优质便捷的法律服务。二是围绕人民群众生产生活开展法律服务。公证处着眼服务全区经济建设，不断拓宽公证领域，提升服务质量，为区重点工程建设、市场整治等重大活动和重要事项提供优质公证服务，到2018年12月为止，我局公证处已提供优质公证服务1020件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 w:bidi="ar-SA"/>
        </w:rPr>
        <w:t>我局根据上级及财政的部门相关要求，根据相关法律规章制度，制定了我局项目资金使用相关制度规定。如，财务管理规定，“三重一大”管理规定，司法局内控管理制度，司法局资产管理制度，财务开支公示制度，财务人员工作职责等。项目资金的使用严格按照司法局各项规章制度执行运转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 w:bidi="ar-SA"/>
        </w:rPr>
        <w:t>项目投标情况：本年度本项目财政拨款资金安排为92.76元，主要补充单位共用经费，无项目招投标。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 w:bidi="ar-SA"/>
        </w:rPr>
        <w:t>调整情况：无调整情况。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 w:bidi="ar-SA"/>
        </w:rPr>
        <w:t>完成验收：累计接收社区矫正人员135人，解除矫正102人，办理法律援助案件30件，其中刑事案件8起，民事案件22起，为困难群众提供了优质便捷的法律服务。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 w:bidi="ar-SA"/>
        </w:rPr>
        <w:t>我局其他司法支出经费项目资金使用严格执行单位各项规章制度，资金落实到位，不拖欠，不做项目外的其他支出。</w:t>
      </w:r>
    </w:p>
    <w:p>
      <w:pPr>
        <w:spacing w:line="540" w:lineRule="exact"/>
        <w:ind w:firstLine="567" w:firstLineChars="181"/>
        <w:rPr>
          <w:rFonts w:hint="eastAsia" w:ascii="仿宋_GB2312" w:hAnsi="Times New Roman" w:eastAsia="仿宋_GB2312" w:cs="Times New Roman"/>
          <w:b/>
          <w:bCs/>
          <w:spacing w:val="-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spacing w:val="-4"/>
          <w:kern w:val="2"/>
          <w:sz w:val="32"/>
          <w:szCs w:val="32"/>
          <w:lang w:val="en-US" w:eastAsia="zh-CN" w:bidi="ar-SA"/>
        </w:rPr>
        <w:t>（二）项目管理情况分析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" w:hAnsi="仿宋" w:eastAsia="仿宋" w:cs="Times New Roman"/>
          <w:spacing w:val="-4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 w:bidi="ar-SA"/>
        </w:rPr>
        <w:t>项目管理制度建设：按照国家政策法规规定和部门实际情况，建立健全财务基础管理制度和约束机制，依法有效地使用</w:t>
      </w:r>
      <w:r>
        <w:rPr>
          <w:rFonts w:hint="eastAsia" w:ascii="仿宋" w:hAnsi="仿宋" w:eastAsia="仿宋" w:cs="Times New Roman"/>
          <w:spacing w:val="-4"/>
          <w:kern w:val="2"/>
          <w:sz w:val="32"/>
          <w:szCs w:val="32"/>
        </w:rPr>
        <w:t>财政资金，提高财政资金使用效率，在完成部门职能目标中合理分配人，财、物。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日常检查监督管理:</w:t>
      </w:r>
      <w:r>
        <w:rPr>
          <w:rFonts w:hint="eastAsia" w:ascii="仿宋" w:hAnsi="仿宋" w:eastAsia="仿宋" w:cs="Times New Roman"/>
          <w:spacing w:val="-4"/>
          <w:kern w:val="2"/>
          <w:sz w:val="32"/>
          <w:szCs w:val="32"/>
        </w:rPr>
        <w:t>围绕县委和</w:t>
      </w: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  <w:t>政府的中心工作开展工作，促进社会稳定，经济发展和社会文明进步，为维护改革发展稳定的大局服务。2018年我局其他司法经费项目资金收入支出平衡，无负债，无结余。全部用于我司法行政支出。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  <w:t>其他司法支出经费项目资金使用严格执行局“三重一大”管理制度，对重大支出召开党组会议研究讨论通过，由办公室具体进行审核通过，单位财务具体实施，主管领导监督，进行层层监督管理。把资金的使用落到实处。</w:t>
      </w:r>
    </w:p>
    <w:p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60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本项目共设置一级指标3个、二级指标7个、三级指标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13</w:t>
      </w:r>
      <w:r>
        <w:rPr>
          <w:rFonts w:hint="eastAsia" w:ascii="仿宋_GB2312" w:eastAsia="仿宋_GB2312"/>
          <w:spacing w:val="-4"/>
          <w:sz w:val="32"/>
          <w:szCs w:val="32"/>
        </w:rPr>
        <w:t>个。其中已完成三级指标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13</w:t>
      </w:r>
      <w:r>
        <w:rPr>
          <w:rFonts w:hint="eastAsia" w:ascii="仿宋_GB2312" w:eastAsia="仿宋_GB2312"/>
          <w:spacing w:val="-4"/>
          <w:sz w:val="32"/>
          <w:szCs w:val="32"/>
        </w:rPr>
        <w:t>个，指标完成率为100%。</w:t>
      </w:r>
    </w:p>
    <w:p>
      <w:pPr>
        <w:numPr>
          <w:ilvl w:val="0"/>
          <w:numId w:val="1"/>
        </w:numPr>
        <w:spacing w:line="600" w:lineRule="exact"/>
        <w:ind w:firstLine="640"/>
        <w:rPr>
          <w:rFonts w:ascii="仿宋_GB2312" w:eastAsia="仿宋_GB2312"/>
          <w:bCs/>
          <w:spacing w:val="-4"/>
          <w:sz w:val="32"/>
          <w:szCs w:val="32"/>
        </w:rPr>
      </w:pPr>
      <w:r>
        <w:rPr>
          <w:rFonts w:hint="eastAsia" w:ascii="仿宋_GB2312" w:eastAsia="仿宋_GB2312"/>
          <w:bCs/>
          <w:spacing w:val="-4"/>
          <w:sz w:val="32"/>
          <w:szCs w:val="32"/>
        </w:rPr>
        <w:t>产出指标完成情况分析。</w:t>
      </w:r>
    </w:p>
    <w:p>
      <w:pPr>
        <w:spacing w:line="60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（1）项目完成数量。累计接收社区矫正人员135人，解除矫正102人，办理法律援助案件30件，其中刑事案件8起，民事案件22起，为困难群众提供了优质便捷的法律服务，提供优质公证服务1020件。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  <w:highlight w:val="none"/>
        </w:rPr>
      </w:pPr>
      <w:r>
        <w:rPr>
          <w:rFonts w:hint="eastAsia" w:ascii="仿宋_GB2312" w:eastAsia="仿宋_GB2312"/>
          <w:spacing w:val="-4"/>
          <w:sz w:val="32"/>
          <w:szCs w:val="32"/>
          <w:highlight w:val="none"/>
        </w:rPr>
        <w:t>（2）项目完成质量。购买产品合格率达100%。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  <w:highlight w:val="yellow"/>
        </w:rPr>
      </w:pPr>
      <w:r>
        <w:rPr>
          <w:rFonts w:hint="eastAsia" w:ascii="仿宋_GB2312" w:eastAsia="仿宋_GB2312"/>
          <w:spacing w:val="-4"/>
          <w:sz w:val="32"/>
          <w:szCs w:val="32"/>
          <w:highlight w:val="none"/>
        </w:rPr>
        <w:t>（3）项目完成时效。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 xml:space="preserve">社区矫正项目资金预算 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92.76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万元，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eastAsia="zh-CN"/>
        </w:rPr>
        <w:t>资金已全部到位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，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预算执行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eastAsia="zh-CN"/>
        </w:rPr>
        <w:t>率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100%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eastAsia="zh-CN"/>
        </w:rPr>
        <w:t>。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/>
        </w:rPr>
        <w:t>（4）项目成本分析。全额落实项目资金，有效开展司法行政工作，有效打造学法、用法、尊法的法治社会氛围。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/>
        </w:rPr>
        <w:t>2、效益指标完成情况分析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/>
        </w:rPr>
        <w:t>（1）项目实施的社会效益分析。为困难群众提供了优质便捷的法律服务，普及率达100%。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/>
        </w:rPr>
        <w:t>（2）项目实施的可持续影响分析。项目实施可持续1年，有利于全民法治意识的提高，提升法治政府，法治环境的建设。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/>
        </w:rPr>
        <w:t>2018年我局其他司法支出项目资金收入支出平衡，无负债，无结余。全部用于我局正常运转、完成司法行政活动和其他日常工作任务。</w:t>
      </w:r>
    </w:p>
    <w:p>
      <w:pPr>
        <w:spacing w:line="600" w:lineRule="exact"/>
        <w:ind w:firstLine="64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  <w:highlight w:val="none"/>
        </w:rPr>
        <w:t>3、满意度</w:t>
      </w:r>
      <w:r>
        <w:rPr>
          <w:rFonts w:hint="eastAsia" w:ascii="仿宋" w:hAnsi="仿宋" w:eastAsia="仿宋"/>
          <w:b/>
          <w:bCs/>
          <w:sz w:val="32"/>
          <w:szCs w:val="32"/>
        </w:rPr>
        <w:t>指标完成情况分析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/>
        </w:rPr>
        <w:t>其他司法支出项目资金保障民司法行政正常运行，确保司法为民工作有序开展，干群满意度达98%以上。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（二）项目绩效目标未完成原因分析。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/>
        </w:rPr>
        <w:t>该项目已完成所有设定的绩效目标任务，完成率100%，不存在未完成目标值情况。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(三)预算执行进度与绩效指标偏差分析。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加强资金管理，对案件进行事后监督。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/>
        </w:rPr>
        <w:t>资金安排、使用过程中的经验：严格控制法律援助经费的支出范围，规范支出财务管理规定，“三重一大”管理规定，资产管理制度，财务公示制度，财务人员职责等。单位项目资金的使用严格按照各项规章制度执行运转。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  <w:t>1. </w:t>
      </w:r>
      <w:r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  <w:t>主要经验及做法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/>
        </w:rPr>
        <w:t>领导重视，责任明确，成立项目工作领导小组，负责组织协调项目方面的各项工作，是项目顺利进行和保证项目质量的前提。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  <w:t>2.存在问题和建议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/>
        </w:rPr>
      </w:pPr>
      <w:r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  <w:t>  </w:t>
      </w: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/>
        </w:rPr>
        <w:t>存在问题：项目在实施过程，对项目制定相关的管理制度还不够完善。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/>
        </w:rPr>
        <w:t>建议：加强项目管理，形成相应的项目管理制度， 做好事前、事中、事后的监督；加强项目相关管理人员的专业知识培训，通过培训增强管理人员的项目管理方面的业务知识，对于确保项目的质量和项目的规范管理至关重要。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4" w:firstLineChars="181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无</w:t>
      </w:r>
    </w:p>
    <w:p>
      <w:pPr>
        <w:spacing w:line="540" w:lineRule="exact"/>
        <w:ind w:firstLine="564" w:firstLineChars="181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《玛纳斯县财政项目支出绩效自评表》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hint="eastAsia" w:ascii="仿宋_GB2312" w:eastAsia="仿宋_GB2312"/>
          <w:spacing w:val="-4"/>
          <w:sz w:val="32"/>
          <w:szCs w:val="32"/>
        </w:rPr>
      </w:pP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hint="eastAsia" w:ascii="仿宋_GB2312" w:eastAsia="仿宋_GB2312"/>
          <w:spacing w:val="-4"/>
          <w:sz w:val="32"/>
          <w:szCs w:val="32"/>
        </w:rPr>
      </w:pP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hint="eastAsia" w:ascii="仿宋_GB2312" w:eastAsia="仿宋_GB2312"/>
          <w:spacing w:val="-4"/>
          <w:sz w:val="32"/>
          <w:szCs w:val="32"/>
        </w:rPr>
      </w:pP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hint="eastAsia" w:ascii="仿宋_GB2312" w:eastAsia="仿宋_GB2312"/>
          <w:spacing w:val="-4"/>
          <w:sz w:val="32"/>
          <w:szCs w:val="32"/>
        </w:rPr>
      </w:pP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hint="eastAsia" w:ascii="仿宋_GB2312" w:eastAsia="仿宋_GB2312"/>
          <w:spacing w:val="-4"/>
          <w:sz w:val="32"/>
          <w:szCs w:val="32"/>
        </w:rPr>
      </w:pP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hint="eastAsia" w:ascii="仿宋_GB2312" w:eastAsia="仿宋_GB2312"/>
          <w:spacing w:val="-4"/>
          <w:sz w:val="32"/>
          <w:szCs w:val="32"/>
        </w:rPr>
      </w:pP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hint="eastAsia" w:ascii="仿宋_GB2312" w:eastAsia="仿宋_GB2312"/>
          <w:spacing w:val="-4"/>
          <w:sz w:val="32"/>
          <w:szCs w:val="32"/>
        </w:rPr>
      </w:pPr>
    </w:p>
    <w:p>
      <w:pPr>
        <w:pStyle w:val="15"/>
        <w:spacing w:before="0" w:beforeAutospacing="0" w:after="0" w:afterAutospacing="0" w:line="480" w:lineRule="auto"/>
        <w:jc w:val="both"/>
        <w:rPr>
          <w:rFonts w:hint="eastAsia" w:ascii="仿宋_GB2312" w:eastAsia="仿宋_GB2312"/>
          <w:spacing w:val="-4"/>
          <w:sz w:val="32"/>
          <w:szCs w:val="32"/>
        </w:rPr>
      </w:pPr>
    </w:p>
    <w:tbl>
      <w:tblPr>
        <w:tblStyle w:val="17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39"/>
        <w:gridCol w:w="1359"/>
        <w:gridCol w:w="1079"/>
        <w:gridCol w:w="880"/>
        <w:gridCol w:w="2064"/>
        <w:gridCol w:w="17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</w:rPr>
              <w:t>8年度）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其他司法支出经费项目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玛纳斯县司法局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4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92.76</w:t>
            </w:r>
          </w:p>
        </w:tc>
        <w:tc>
          <w:tcPr>
            <w:tcW w:w="2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92.76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4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92.76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92.76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4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4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  <w:p>
            <w:pPr>
              <w:jc w:val="left"/>
              <w:rPr>
                <w:sz w:val="20"/>
                <w:szCs w:val="20"/>
              </w:rPr>
            </w:pPr>
          </w:p>
          <w:p>
            <w:pPr>
              <w:jc w:val="left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保障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其他司法支出经费项目按时足额</w:t>
            </w:r>
            <w:r>
              <w:rPr>
                <w:rFonts w:hint="eastAsia"/>
                <w:sz w:val="20"/>
                <w:szCs w:val="20"/>
              </w:rPr>
              <w:t>到位。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3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其他司法支出经费项目按时完成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cs="宋体"/>
                <w:sz w:val="20"/>
                <w:szCs w:val="20"/>
              </w:rPr>
              <w:t>数量指标</w:t>
            </w: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cs="宋体"/>
                <w:sz w:val="20"/>
                <w:szCs w:val="20"/>
              </w:rPr>
              <w:t>司法局个数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asciiTheme="majorEastAsia" w:hAnsiTheme="majorEastAsia" w:eastAsiaTheme="majorEastAsia"/>
                <w:sz w:val="20"/>
                <w:szCs w:val="20"/>
              </w:rPr>
              <w:t>1</w:t>
            </w:r>
          </w:p>
        </w:tc>
        <w:tc>
          <w:tcPr>
            <w:tcW w:w="1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asciiTheme="majorEastAsia" w:hAnsiTheme="majorEastAsia" w:eastAsiaTheme="majorEastAsia"/>
                <w:sz w:val="20"/>
                <w:szCs w:val="20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sz w:val="20"/>
                <w:szCs w:val="20"/>
              </w:rPr>
            </w:pP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cs="宋体"/>
                <w:sz w:val="20"/>
                <w:szCs w:val="20"/>
              </w:rPr>
              <w:t>财政供养人员人数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41人</w:t>
            </w:r>
          </w:p>
        </w:tc>
        <w:tc>
          <w:tcPr>
            <w:tcW w:w="1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41人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sz w:val="20"/>
                <w:szCs w:val="20"/>
              </w:rPr>
            </w:pP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cs="宋体"/>
                <w:sz w:val="20"/>
                <w:szCs w:val="20"/>
              </w:rPr>
              <w:t>调委会人数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96人</w:t>
            </w:r>
          </w:p>
        </w:tc>
        <w:tc>
          <w:tcPr>
            <w:tcW w:w="1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96人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sz w:val="20"/>
                <w:szCs w:val="20"/>
              </w:rPr>
            </w:pP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cs="宋体"/>
                <w:sz w:val="20"/>
                <w:szCs w:val="20"/>
              </w:rPr>
              <w:t>接收社区矫正人员人数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135人</w:t>
            </w:r>
          </w:p>
        </w:tc>
        <w:tc>
          <w:tcPr>
            <w:tcW w:w="1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135人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sz w:val="20"/>
                <w:szCs w:val="20"/>
              </w:rPr>
            </w:pP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cs="宋体"/>
                <w:sz w:val="20"/>
                <w:szCs w:val="20"/>
              </w:rPr>
              <w:t>解除矫正人数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102人</w:t>
            </w:r>
          </w:p>
        </w:tc>
        <w:tc>
          <w:tcPr>
            <w:tcW w:w="1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102人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cs="宋体"/>
                <w:sz w:val="20"/>
                <w:szCs w:val="20"/>
              </w:rPr>
              <w:t>援助办理案件数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30件</w:t>
            </w:r>
          </w:p>
        </w:tc>
        <w:tc>
          <w:tcPr>
            <w:tcW w:w="1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30件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cs="宋体"/>
                <w:sz w:val="20"/>
                <w:szCs w:val="20"/>
              </w:rPr>
              <w:t>公证服务个数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1020件</w:t>
            </w:r>
          </w:p>
        </w:tc>
        <w:tc>
          <w:tcPr>
            <w:tcW w:w="1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1020件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cs="宋体"/>
                <w:sz w:val="20"/>
                <w:szCs w:val="20"/>
              </w:rPr>
              <w:t>购买产品合格率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100%</w:t>
            </w:r>
          </w:p>
        </w:tc>
        <w:tc>
          <w:tcPr>
            <w:tcW w:w="1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cs="宋体" w:asciiTheme="majorEastAsia" w:hAnsiTheme="majorEastAsia" w:eastAsiaTheme="majorEastAsia"/>
                <w:sz w:val="20"/>
                <w:szCs w:val="20"/>
              </w:rPr>
              <w:t>预算执行率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100%</w:t>
            </w:r>
          </w:p>
        </w:tc>
        <w:tc>
          <w:tcPr>
            <w:tcW w:w="1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其他司法支出经费项目经费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92.76</w:t>
            </w:r>
          </w:p>
        </w:tc>
        <w:tc>
          <w:tcPr>
            <w:tcW w:w="1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92.76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t>项目效益指标</w:t>
            </w: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社会效益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为困难群众提供了优质便捷的法律服务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</w:rPr>
              <w:t>100%</w:t>
            </w:r>
          </w:p>
        </w:tc>
        <w:tc>
          <w:tcPr>
            <w:tcW w:w="1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可持续影响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cs="宋体" w:asciiTheme="majorEastAsia" w:hAnsiTheme="majorEastAsia" w:eastAsiaTheme="majorEastAsia"/>
                <w:sz w:val="20"/>
                <w:szCs w:val="20"/>
              </w:rPr>
              <w:t>项目持续时长</w:t>
            </w:r>
          </w:p>
        </w:tc>
        <w:tc>
          <w:tcPr>
            <w:tcW w:w="2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color w:val="2B2B2B"/>
                <w:kern w:val="0"/>
                <w:sz w:val="20"/>
                <w:szCs w:val="20"/>
              </w:rPr>
              <w:t>1年</w:t>
            </w:r>
          </w:p>
        </w:tc>
        <w:tc>
          <w:tcPr>
            <w:tcW w:w="1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color w:val="2B2B2B"/>
                <w:kern w:val="0"/>
                <w:sz w:val="20"/>
                <w:szCs w:val="20"/>
              </w:rPr>
              <w:t>1年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满意度</w:t>
            </w:r>
            <w:r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35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cs="宋体" w:asciiTheme="majorEastAsia" w:hAnsiTheme="majorEastAsia" w:eastAsiaTheme="majorEastAsia"/>
                <w:sz w:val="20"/>
                <w:szCs w:val="20"/>
              </w:rPr>
              <w:t>干群满意度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≥98</w:t>
            </w:r>
            <w:r>
              <w:rPr>
                <w:rFonts w:asciiTheme="majorEastAsia" w:hAnsiTheme="majorEastAsia" w:eastAsiaTheme="majorEastAsia"/>
                <w:sz w:val="20"/>
                <w:szCs w:val="20"/>
              </w:rPr>
              <w:t>%</w:t>
            </w:r>
          </w:p>
        </w:tc>
        <w:tc>
          <w:tcPr>
            <w:tcW w:w="1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98</w:t>
            </w:r>
            <w:r>
              <w:rPr>
                <w:rFonts w:asciiTheme="majorEastAsia" w:hAnsiTheme="majorEastAsia" w:eastAsiaTheme="majorEastAsia"/>
                <w:sz w:val="20"/>
                <w:szCs w:val="20"/>
              </w:rPr>
              <w:t>%</w:t>
            </w:r>
          </w:p>
        </w:tc>
      </w:tr>
    </w:tbl>
    <w:p>
      <w:pPr>
        <w:spacing w:line="540" w:lineRule="exact"/>
        <w:rPr>
          <w:rStyle w:val="19"/>
          <w:rFonts w:asciiTheme="majorEastAsia" w:hAnsiTheme="majorEastAsia" w:eastAsiaTheme="majorEastAsia"/>
          <w:b w:val="0"/>
          <w:spacing w:val="-4"/>
          <w:sz w:val="20"/>
          <w:szCs w:val="20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7A83A8"/>
    <w:multiLevelType w:val="singleLevel"/>
    <w:tmpl w:val="CE7A83A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45894"/>
    <w:rsid w:val="00056465"/>
    <w:rsid w:val="000820FE"/>
    <w:rsid w:val="00084EE1"/>
    <w:rsid w:val="000B31F9"/>
    <w:rsid w:val="000B693B"/>
    <w:rsid w:val="000E443C"/>
    <w:rsid w:val="001029BE"/>
    <w:rsid w:val="00121AE4"/>
    <w:rsid w:val="00135BA7"/>
    <w:rsid w:val="00144BA9"/>
    <w:rsid w:val="00146AAD"/>
    <w:rsid w:val="00150510"/>
    <w:rsid w:val="001551F1"/>
    <w:rsid w:val="00170F52"/>
    <w:rsid w:val="00172A27"/>
    <w:rsid w:val="00174A21"/>
    <w:rsid w:val="001B3A40"/>
    <w:rsid w:val="001D0E90"/>
    <w:rsid w:val="0027201D"/>
    <w:rsid w:val="002E63F8"/>
    <w:rsid w:val="003309BE"/>
    <w:rsid w:val="003379CD"/>
    <w:rsid w:val="003C18BC"/>
    <w:rsid w:val="003C5B5C"/>
    <w:rsid w:val="00400BF4"/>
    <w:rsid w:val="00424928"/>
    <w:rsid w:val="004366A8"/>
    <w:rsid w:val="00460761"/>
    <w:rsid w:val="00464900"/>
    <w:rsid w:val="004857F9"/>
    <w:rsid w:val="004B34B6"/>
    <w:rsid w:val="004C65BE"/>
    <w:rsid w:val="00502BA7"/>
    <w:rsid w:val="005162F1"/>
    <w:rsid w:val="00523B09"/>
    <w:rsid w:val="0053056A"/>
    <w:rsid w:val="00535153"/>
    <w:rsid w:val="00542434"/>
    <w:rsid w:val="00547907"/>
    <w:rsid w:val="00554F82"/>
    <w:rsid w:val="005575A3"/>
    <w:rsid w:val="0056390D"/>
    <w:rsid w:val="005719B0"/>
    <w:rsid w:val="005A36B6"/>
    <w:rsid w:val="005A6765"/>
    <w:rsid w:val="005D10D6"/>
    <w:rsid w:val="005D41E5"/>
    <w:rsid w:val="00630F2D"/>
    <w:rsid w:val="00677944"/>
    <w:rsid w:val="006B6E1A"/>
    <w:rsid w:val="006D19BB"/>
    <w:rsid w:val="006E7BBE"/>
    <w:rsid w:val="0070541E"/>
    <w:rsid w:val="007335B9"/>
    <w:rsid w:val="00760FB7"/>
    <w:rsid w:val="007758C3"/>
    <w:rsid w:val="00777CF2"/>
    <w:rsid w:val="007806A5"/>
    <w:rsid w:val="007A1ACA"/>
    <w:rsid w:val="007D1D4C"/>
    <w:rsid w:val="00820C84"/>
    <w:rsid w:val="00826F44"/>
    <w:rsid w:val="00855E3A"/>
    <w:rsid w:val="008854BA"/>
    <w:rsid w:val="008D1531"/>
    <w:rsid w:val="00922CB9"/>
    <w:rsid w:val="009263C2"/>
    <w:rsid w:val="00965193"/>
    <w:rsid w:val="0096717F"/>
    <w:rsid w:val="009A0CF6"/>
    <w:rsid w:val="009E5CD9"/>
    <w:rsid w:val="00A05AA4"/>
    <w:rsid w:val="00A23C9D"/>
    <w:rsid w:val="00A26421"/>
    <w:rsid w:val="00A27037"/>
    <w:rsid w:val="00A337BA"/>
    <w:rsid w:val="00A4293B"/>
    <w:rsid w:val="00A641F2"/>
    <w:rsid w:val="00A67D50"/>
    <w:rsid w:val="00A752E2"/>
    <w:rsid w:val="00A8691A"/>
    <w:rsid w:val="00A93111"/>
    <w:rsid w:val="00AB1474"/>
    <w:rsid w:val="00AC1946"/>
    <w:rsid w:val="00AD0DE6"/>
    <w:rsid w:val="00B40063"/>
    <w:rsid w:val="00B41F61"/>
    <w:rsid w:val="00B605FA"/>
    <w:rsid w:val="00BA46E6"/>
    <w:rsid w:val="00BD1628"/>
    <w:rsid w:val="00BE4626"/>
    <w:rsid w:val="00BF0150"/>
    <w:rsid w:val="00C110D1"/>
    <w:rsid w:val="00C52DA4"/>
    <w:rsid w:val="00C56C72"/>
    <w:rsid w:val="00CA6457"/>
    <w:rsid w:val="00D17F2E"/>
    <w:rsid w:val="00D23B6D"/>
    <w:rsid w:val="00D30354"/>
    <w:rsid w:val="00D6360A"/>
    <w:rsid w:val="00D8390A"/>
    <w:rsid w:val="00DA2864"/>
    <w:rsid w:val="00DA7A71"/>
    <w:rsid w:val="00DC16C9"/>
    <w:rsid w:val="00DF42A0"/>
    <w:rsid w:val="00E06B9F"/>
    <w:rsid w:val="00E160F1"/>
    <w:rsid w:val="00E46C51"/>
    <w:rsid w:val="00E7448A"/>
    <w:rsid w:val="00E769FE"/>
    <w:rsid w:val="00EA2CBE"/>
    <w:rsid w:val="00EC09CF"/>
    <w:rsid w:val="00EF303B"/>
    <w:rsid w:val="00F32FEE"/>
    <w:rsid w:val="00F629B9"/>
    <w:rsid w:val="00F9008B"/>
    <w:rsid w:val="00FB0C3D"/>
    <w:rsid w:val="00FB10BB"/>
    <w:rsid w:val="04E457F9"/>
    <w:rsid w:val="0F4A395B"/>
    <w:rsid w:val="133C4FB2"/>
    <w:rsid w:val="1E616CB0"/>
    <w:rsid w:val="26A232B3"/>
    <w:rsid w:val="2A4C509A"/>
    <w:rsid w:val="312B4A6F"/>
    <w:rsid w:val="333614D1"/>
    <w:rsid w:val="34556EEA"/>
    <w:rsid w:val="351852F5"/>
    <w:rsid w:val="37336895"/>
    <w:rsid w:val="37CC217E"/>
    <w:rsid w:val="46B11BAF"/>
    <w:rsid w:val="4ECA63C9"/>
    <w:rsid w:val="4F440767"/>
    <w:rsid w:val="553C40C4"/>
    <w:rsid w:val="5F476765"/>
    <w:rsid w:val="60C22F24"/>
    <w:rsid w:val="63C42FF6"/>
    <w:rsid w:val="64B26CBD"/>
    <w:rsid w:val="650B1F81"/>
    <w:rsid w:val="654A6FEE"/>
    <w:rsid w:val="66DD2150"/>
    <w:rsid w:val="788F5A90"/>
    <w:rsid w:val="7D1D01C3"/>
    <w:rsid w:val="7D47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8">
    <w:name w:val="Default Paragraph Font"/>
    <w:unhideWhenUsed/>
    <w:uiPriority w:val="1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0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3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6">
    <w:name w:val="Title"/>
    <w:basedOn w:val="1"/>
    <w:next w:val="1"/>
    <w:link w:val="34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rFonts w:cs="Times New Roman"/>
      <w:b/>
      <w:bCs/>
    </w:rPr>
  </w:style>
  <w:style w:type="character" w:styleId="20">
    <w:name w:val="Emphasis"/>
    <w:basedOn w:val="18"/>
    <w:qFormat/>
    <w:uiPriority w:val="99"/>
    <w:rPr>
      <w:rFonts w:ascii="Calibri" w:hAnsi="Calibri" w:cs="Times New Roman"/>
      <w:b/>
      <w:i/>
      <w:iCs/>
    </w:rPr>
  </w:style>
  <w:style w:type="character" w:customStyle="1" w:styleId="21">
    <w:name w:val="标题 1 Char"/>
    <w:basedOn w:val="18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locked/>
    <w:uiPriority w:val="99"/>
    <w:rPr>
      <w:rFonts w:cs="Times New Roman"/>
      <w:b/>
      <w:bCs/>
    </w:rPr>
  </w:style>
  <w:style w:type="character" w:customStyle="1" w:styleId="27">
    <w:name w:val="标题 7 Char"/>
    <w:basedOn w:val="18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8">
    <w:name w:val="标题 8 Char"/>
    <w:basedOn w:val="18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0">
    <w:name w:val="批注框文本 Char"/>
    <w:basedOn w:val="18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1">
    <w:name w:val="页脚 Char"/>
    <w:basedOn w:val="18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页眉 Char"/>
    <w:basedOn w:val="18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3">
    <w:name w:val="副标题 Char"/>
    <w:basedOn w:val="18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4">
    <w:name w:val="标题 Char"/>
    <w:basedOn w:val="18"/>
    <w:link w:val="16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customStyle="1" w:styleId="35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customStyle="1" w:styleId="36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37">
    <w:name w:val="Quote"/>
    <w:basedOn w:val="1"/>
    <w:next w:val="1"/>
    <w:link w:val="38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8">
    <w:name w:val="引用 Char"/>
    <w:basedOn w:val="18"/>
    <w:link w:val="37"/>
    <w:qFormat/>
    <w:locked/>
    <w:uiPriority w:val="99"/>
    <w:rPr>
      <w:rFonts w:cs="Times New Roman"/>
      <w:i/>
      <w:sz w:val="24"/>
      <w:szCs w:val="24"/>
    </w:rPr>
  </w:style>
  <w:style w:type="paragraph" w:customStyle="1" w:styleId="39">
    <w:name w:val="Intense Quote"/>
    <w:basedOn w:val="1"/>
    <w:next w:val="1"/>
    <w:link w:val="40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0">
    <w:name w:val="明显引用 Char"/>
    <w:basedOn w:val="18"/>
    <w:link w:val="39"/>
    <w:qFormat/>
    <w:locked/>
    <w:uiPriority w:val="99"/>
    <w:rPr>
      <w:rFonts w:cs="Times New Roman"/>
      <w:b/>
      <w:i/>
      <w:sz w:val="24"/>
    </w:rPr>
  </w:style>
  <w:style w:type="character" w:customStyle="1" w:styleId="41">
    <w:name w:val="不明显强调1"/>
    <w:qFormat/>
    <w:uiPriority w:val="99"/>
    <w:rPr>
      <w:i/>
      <w:color w:val="595959"/>
    </w:rPr>
  </w:style>
  <w:style w:type="character" w:customStyle="1" w:styleId="42">
    <w:name w:val="明显强调1"/>
    <w:basedOn w:val="18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3">
    <w:name w:val="不明显参考1"/>
    <w:basedOn w:val="18"/>
    <w:qFormat/>
    <w:uiPriority w:val="99"/>
    <w:rPr>
      <w:rFonts w:cs="Times New Roman"/>
      <w:sz w:val="24"/>
      <w:szCs w:val="24"/>
      <w:u w:val="single"/>
    </w:rPr>
  </w:style>
  <w:style w:type="character" w:customStyle="1" w:styleId="44">
    <w:name w:val="明显参考1"/>
    <w:basedOn w:val="18"/>
    <w:qFormat/>
    <w:uiPriority w:val="99"/>
    <w:rPr>
      <w:rFonts w:cs="Times New Roman"/>
      <w:b/>
      <w:sz w:val="24"/>
      <w:u w:val="single"/>
    </w:rPr>
  </w:style>
  <w:style w:type="character" w:customStyle="1" w:styleId="45">
    <w:name w:val="书籍标题1"/>
    <w:basedOn w:val="18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6">
    <w:name w:val="TOC 标题1"/>
    <w:basedOn w:val="2"/>
    <w:next w:val="1"/>
    <w:semiHidden/>
    <w:qFormat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54AA62-2C19-423C-89B1-6817DB003F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2986</Words>
  <Characters>499</Characters>
  <Lines>4</Lines>
  <Paragraphs>6</Paragraphs>
  <TotalTime>0</TotalTime>
  <ScaleCrop>false</ScaleCrop>
  <LinksUpToDate>false</LinksUpToDate>
  <CharactersWithSpaces>3479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2019-01-14T13:44:00Z</cp:lastPrinted>
  <dcterms:modified xsi:type="dcterms:W3CDTF">2024-03-28T09:44:48Z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