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义务教育教育费附加支出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玛纳斯县教育和科学技术局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玛纳斯县教育和科学技术局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张鑫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填报时间： 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年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12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31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after="0" w:line="540" w:lineRule="exact"/>
        <w:ind w:firstLine="640"/>
        <w:rPr>
          <w:rStyle w:val="17"/>
          <w:rFonts w:hint="eastAsia" w:ascii="黑体" w:hAnsi="黑体" w:eastAsia="黑体" w:cs="Times New Roman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Times New Roman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wordWrap/>
        <w:adjustRightInd/>
        <w:snapToGrid/>
        <w:spacing w:after="0" w:line="500" w:lineRule="exact"/>
        <w:ind w:right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教育主要职责是</w:t>
      </w:r>
      <w:r>
        <w:rPr>
          <w:rFonts w:hint="eastAsia" w:ascii="仿宋_GB2312" w:hAnsi="仿宋_GB2312" w:eastAsia="仿宋_GB2312" w:cs="仿宋_GB2312"/>
          <w:sz w:val="28"/>
          <w:szCs w:val="28"/>
        </w:rPr>
        <w:t>全面贯彻执行党和国家、区、州有关教育工作的方针、政策和法规，拟定全县教育规章、实施方案和管理办法，并组织监督各乡镇场站人民政府和有关部门的贯彻执行。指导、加强学校德育工作，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保证党的基本路线在学校的贯彻执行，教育和监督教育系统干部廉洁从政，教师依法执教。负责全县中小学设置、布局调整、危房改造和学校标准化建设的统筹规划，制定年度实施目标并认真予以实施，合理配置教育资源。</w:t>
      </w:r>
    </w:p>
    <w:p>
      <w:pPr>
        <w:wordWrap/>
        <w:adjustRightInd/>
        <w:snapToGrid/>
        <w:spacing w:after="0" w:line="500" w:lineRule="exact"/>
        <w:ind w:right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玛纳斯县有各级各类学校53所。其中中等职业技术学校1所、普通高中1所、初级中学3所、九年一贯制学校3所、小学13所、幼儿园32所；全县教职工1944人；在校生18849人。</w:t>
      </w:r>
    </w:p>
    <w:p>
      <w:pPr>
        <w:wordWrap/>
        <w:adjustRightInd/>
        <w:snapToGrid/>
        <w:spacing w:after="0" w:line="500" w:lineRule="exact"/>
        <w:ind w:right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其中义务教育农村学校及校点：小学8所、九年一贯制学校3所、校点4所；教职工593人、在校生3886人。</w:t>
      </w:r>
    </w:p>
    <w:p>
      <w:pPr>
        <w:wordWrap/>
        <w:adjustRightInd/>
        <w:snapToGrid/>
        <w:spacing w:after="0" w:line="500" w:lineRule="exact"/>
        <w:ind w:right="0" w:firstLine="494" w:firstLineChars="181"/>
        <w:textAlignment w:val="auto"/>
        <w:outlineLvl w:val="9"/>
        <w:rPr>
          <w:rStyle w:val="17"/>
          <w:rFonts w:hint="eastAsia" w:ascii="仿宋_GB2312" w:hAnsi="仿宋_GB2312" w:eastAsia="仿宋_GB2312" w:cs="仿宋_GB2312"/>
          <w:spacing w:val="-4"/>
          <w:sz w:val="28"/>
          <w:szCs w:val="28"/>
        </w:rPr>
      </w:pPr>
      <w:r>
        <w:rPr>
          <w:rStyle w:val="17"/>
          <w:rFonts w:hint="eastAsia" w:ascii="仿宋_GB2312" w:hAnsi="仿宋_GB2312" w:eastAsia="仿宋_GB2312" w:cs="仿宋_GB2312"/>
          <w:spacing w:val="-4"/>
          <w:sz w:val="28"/>
          <w:szCs w:val="28"/>
        </w:rPr>
        <w:t>（二）项目预算绩效目标设定情况</w:t>
      </w:r>
    </w:p>
    <w:p>
      <w:pPr>
        <w:wordWrap/>
        <w:adjustRightInd/>
        <w:snapToGrid/>
        <w:spacing w:after="0" w:line="500" w:lineRule="exact"/>
        <w:ind w:right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本项目共设置一级指标3个、二级指标8个、三级指标12个指标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。三级指标可量化10个，占比83%，工程验收合格率100%、工程按期完成率100%、群众满意率为100%等。</w:t>
      </w:r>
    </w:p>
    <w:p>
      <w:pPr>
        <w:wordWrap/>
        <w:adjustRightInd/>
        <w:snapToGrid/>
        <w:spacing w:after="0" w:line="500" w:lineRule="exact"/>
        <w:ind w:right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预期目标及阶段性目标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: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紧紧围绕创自治区教育强县目标，以提升学校办学条件为抓手，努力推进学校标准化、均等化发展，解决了中小学办学条件的问题。实现教育均衡发展。为加强民族交流、促进民族团结、推进教育发展打下了坚实的基础，使各族群众享受到了改革发展带来的成果。</w:t>
      </w:r>
    </w:p>
    <w:p>
      <w:pPr>
        <w:wordWrap/>
        <w:adjustRightInd/>
        <w:snapToGrid/>
        <w:spacing w:after="0" w:line="500" w:lineRule="exact"/>
        <w:ind w:right="0" w:firstLine="506" w:firstLineChars="181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、项目基本性质:近年来，根据国家、自治区和昌吉州的有关文件精神,结合我县实际,我县以科学发展观为指导,以促进教育均衡发展为目标,以办人民满意的教育为宗旨,按照“结构、规模、质量、效益”相协调的思路,坚持把调整学校布局整合教育资源工作摆在战略地位,突出重点,加大力度,进一步科学配置教育资源,切实解决好学校布局不合理、办学条件不达标、教育资源短缺以及整体资源使用效益不高等突出问题,努力构建结构合理、布局科学、建设达标、质量效益较高的教育发展新格局。</w:t>
      </w:r>
    </w:p>
    <w:p>
      <w:pPr>
        <w:wordWrap/>
        <w:adjustRightInd/>
        <w:snapToGrid/>
        <w:spacing w:after="0" w:line="500" w:lineRule="exact"/>
        <w:ind w:right="0" w:firstLine="506" w:firstLineChars="181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3、用途:义务教育农村学校规划布局日趋合理，对我县教育事业均衡发展以及实现教育公平起到了积极的推动作用。</w:t>
      </w:r>
    </w:p>
    <w:p>
      <w:pPr>
        <w:wordWrap/>
        <w:adjustRightInd/>
        <w:snapToGrid/>
        <w:spacing w:after="0" w:line="500" w:lineRule="exact"/>
        <w:ind w:right="0" w:firstLine="506" w:firstLineChars="181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4、主要内容、涉及范围:</w:t>
      </w:r>
    </w:p>
    <w:p>
      <w:pPr>
        <w:wordWrap/>
        <w:adjustRightInd/>
        <w:snapToGrid/>
        <w:spacing w:after="0" w:line="500" w:lineRule="exact"/>
        <w:ind w:right="0" w:firstLine="506" w:firstLineChars="181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玛纳斯县义务段学校及校点23所：其中义务段城镇学校8所，义务段农村学校8所，校点1所；牧区学校3所、校点3所。以科学发展观为指导,以促进教育均衡发展为目标,以办人民满意的教育为宗旨,按照“结构、规模、质量、效益”相协调的思路,坚持把调整学校布局整合教育资源工作摆在战略地位。</w:t>
      </w:r>
    </w:p>
    <w:p>
      <w:pPr>
        <w:spacing w:after="0" w:line="540" w:lineRule="exact"/>
        <w:ind w:firstLine="640"/>
        <w:rPr>
          <w:rStyle w:val="17"/>
          <w:rFonts w:hint="eastAsia" w:ascii="黑体" w:hAnsi="黑体" w:eastAsia="黑体" w:cs="Times New Roman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Times New Roman"/>
          <w:b w:val="0"/>
          <w:spacing w:val="-4"/>
          <w:sz w:val="32"/>
          <w:szCs w:val="32"/>
        </w:rPr>
        <w:t>二、项目资金使用及管理情况</w:t>
      </w:r>
    </w:p>
    <w:p>
      <w:pPr>
        <w:wordWrap/>
        <w:adjustRightInd/>
        <w:snapToGrid/>
        <w:spacing w:after="0" w:line="500" w:lineRule="exact"/>
        <w:ind w:right="0" w:firstLine="494" w:firstLineChars="181"/>
        <w:textAlignment w:val="auto"/>
        <w:outlineLvl w:val="9"/>
        <w:rPr>
          <w:rStyle w:val="17"/>
          <w:rFonts w:hint="eastAsia" w:ascii="仿宋_GB2312" w:hAnsi="仿宋_GB2312" w:eastAsia="仿宋_GB2312" w:cs="仿宋_GB2312"/>
          <w:spacing w:val="-4"/>
          <w:sz w:val="28"/>
          <w:szCs w:val="28"/>
        </w:rPr>
      </w:pPr>
      <w:r>
        <w:rPr>
          <w:rStyle w:val="17"/>
          <w:rFonts w:hint="eastAsia" w:ascii="仿宋_GB2312" w:hAnsi="仿宋_GB2312" w:eastAsia="仿宋_GB2312" w:cs="仿宋_GB2312"/>
          <w:spacing w:val="-4"/>
          <w:sz w:val="28"/>
          <w:szCs w:val="28"/>
        </w:rPr>
        <w:t>（一）项目资金安排落实、总投入等情况分析</w:t>
      </w:r>
    </w:p>
    <w:p>
      <w:pPr>
        <w:wordWrap/>
        <w:adjustRightInd/>
        <w:snapToGrid/>
        <w:spacing w:after="0" w:line="500" w:lineRule="exact"/>
        <w:ind w:right="0" w:firstLine="506" w:firstLineChars="181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2018年项目资金资金落实1695.88万元，其中财政资金1695.88万元，自筹资金0元，预算下达率100%。</w:t>
      </w:r>
    </w:p>
    <w:p>
      <w:pPr>
        <w:wordWrap/>
        <w:adjustRightInd/>
        <w:snapToGrid/>
        <w:spacing w:after="0" w:line="500" w:lineRule="exact"/>
        <w:ind w:right="0" w:firstLine="494" w:firstLineChars="181"/>
        <w:textAlignment w:val="auto"/>
        <w:outlineLvl w:val="9"/>
        <w:rPr>
          <w:rStyle w:val="17"/>
          <w:rFonts w:hint="eastAsia" w:ascii="仿宋_GB2312" w:hAnsi="仿宋_GB2312" w:eastAsia="仿宋_GB2312" w:cs="仿宋_GB2312"/>
          <w:spacing w:val="-4"/>
          <w:sz w:val="28"/>
          <w:szCs w:val="28"/>
        </w:rPr>
      </w:pPr>
      <w:r>
        <w:rPr>
          <w:rStyle w:val="17"/>
          <w:rFonts w:hint="eastAsia" w:ascii="仿宋_GB2312" w:hAnsi="仿宋_GB2312" w:eastAsia="仿宋_GB2312" w:cs="仿宋_GB2312"/>
          <w:spacing w:val="-4"/>
          <w:sz w:val="28"/>
          <w:szCs w:val="28"/>
        </w:rPr>
        <w:t>（二）项目资金实际使用情况分析</w:t>
      </w:r>
    </w:p>
    <w:p>
      <w:pPr>
        <w:wordWrap/>
        <w:adjustRightInd/>
        <w:snapToGrid/>
        <w:spacing w:after="0" w:line="500" w:lineRule="exact"/>
        <w:ind w:right="0" w:firstLine="506" w:firstLineChars="181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财政资金：1695.88万元，全部用于中小学项目建设及公用经费。无结余，预算执行率%。</w:t>
      </w:r>
    </w:p>
    <w:p>
      <w:pPr>
        <w:wordWrap/>
        <w:adjustRightInd/>
        <w:snapToGrid/>
        <w:spacing w:after="0" w:line="500" w:lineRule="exact"/>
        <w:ind w:right="0" w:firstLine="546" w:firstLineChars="200"/>
        <w:textAlignment w:val="auto"/>
        <w:outlineLvl w:val="9"/>
        <w:rPr>
          <w:rStyle w:val="17"/>
          <w:rFonts w:hint="eastAsia" w:ascii="仿宋_GB2312" w:hAnsi="仿宋_GB2312" w:eastAsia="仿宋_GB2312" w:cs="仿宋_GB2312"/>
          <w:spacing w:val="-4"/>
          <w:sz w:val="28"/>
          <w:szCs w:val="28"/>
        </w:rPr>
      </w:pPr>
      <w:r>
        <w:rPr>
          <w:rStyle w:val="17"/>
          <w:rFonts w:hint="eastAsia" w:ascii="仿宋_GB2312" w:hAnsi="仿宋_GB2312" w:eastAsia="仿宋_GB2312" w:cs="仿宋_GB2312"/>
          <w:spacing w:val="-4"/>
          <w:sz w:val="28"/>
          <w:szCs w:val="28"/>
        </w:rPr>
        <w:t>（三）项目资金管理情况分析</w:t>
      </w:r>
    </w:p>
    <w:p>
      <w:pPr>
        <w:wordWrap/>
        <w:adjustRightInd/>
        <w:snapToGrid/>
        <w:spacing w:after="0" w:line="500" w:lineRule="exact"/>
        <w:ind w:right="0" w:firstLine="506" w:firstLineChars="181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管理制度、办法的制定：努力用好每一分钱，办好每一件事，不断提高教育经费的管理水平和使用效益。教科局制订了《内部会计管理制度》、《财务主管岗位职责》《财务处理程序制度》《原始记录管理制度》《财务稽核制度》等20项会计制度，及时出台了《玛纳斯县教育系统财务管理办法（试行））》、《玛纳斯县学前免费资金管理办法（试行））》、《玛纳斯县教育系统报账会计工作规则》、《玛纳斯县教育系统财务报销实施细则》、《学前三年免费教育补助资金使用管理试行办法》，根据内部管理的需要，明确各工作岗位的职责和权限。</w:t>
      </w:r>
    </w:p>
    <w:p>
      <w:pPr>
        <w:wordWrap/>
        <w:adjustRightInd/>
        <w:snapToGrid/>
        <w:spacing w:after="0" w:line="500" w:lineRule="exact"/>
        <w:ind w:right="0" w:firstLine="506" w:firstLineChars="181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执行情况：全部用按照相关管理办法使用资金，资金全部于中小学项目建设及公用经费，无结余。</w:t>
      </w:r>
    </w:p>
    <w:p>
      <w:pPr>
        <w:spacing w:after="0" w:line="540" w:lineRule="exact"/>
        <w:ind w:firstLine="640"/>
        <w:rPr>
          <w:rStyle w:val="17"/>
          <w:rFonts w:hint="eastAsia" w:ascii="黑体" w:hAnsi="黑体" w:eastAsia="黑体" w:cs="Times New Roman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Times New Roman"/>
          <w:b w:val="0"/>
          <w:spacing w:val="-4"/>
          <w:sz w:val="32"/>
          <w:szCs w:val="32"/>
        </w:rPr>
        <w:t>三、项目组织实施情况</w:t>
      </w:r>
    </w:p>
    <w:p>
      <w:pPr>
        <w:wordWrap/>
        <w:adjustRightInd/>
        <w:snapToGrid/>
        <w:spacing w:after="0" w:line="500" w:lineRule="exact"/>
        <w:ind w:right="0" w:firstLine="494" w:firstLineChars="181"/>
        <w:textAlignment w:val="auto"/>
        <w:outlineLvl w:val="9"/>
        <w:rPr>
          <w:rStyle w:val="17"/>
          <w:rFonts w:hint="eastAsia" w:ascii="仿宋_GB2312" w:hAnsi="仿宋_GB2312" w:eastAsia="仿宋_GB2312" w:cs="仿宋_GB2312"/>
          <w:spacing w:val="-4"/>
          <w:sz w:val="28"/>
          <w:szCs w:val="28"/>
        </w:rPr>
      </w:pPr>
      <w:r>
        <w:rPr>
          <w:rStyle w:val="17"/>
          <w:rFonts w:hint="eastAsia" w:ascii="仿宋_GB2312" w:hAnsi="仿宋_GB2312" w:eastAsia="仿宋_GB2312" w:cs="仿宋_GB2312"/>
          <w:spacing w:val="-4"/>
          <w:sz w:val="28"/>
          <w:szCs w:val="28"/>
        </w:rPr>
        <w:t>（一）项目组织情况分析</w:t>
      </w:r>
    </w:p>
    <w:p>
      <w:pPr>
        <w:wordWrap/>
        <w:adjustRightInd/>
        <w:snapToGrid/>
        <w:spacing w:after="0" w:line="500" w:lineRule="exact"/>
        <w:ind w:right="0" w:firstLine="506" w:firstLineChars="181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2018年项目资金资金落实1695.88万元，其中财政资金1695.88万元，自筹资金0元。</w:t>
      </w:r>
    </w:p>
    <w:p>
      <w:pPr>
        <w:wordWrap/>
        <w:adjustRightInd/>
        <w:snapToGrid/>
        <w:spacing w:after="0" w:line="500" w:lineRule="exact"/>
        <w:ind w:right="0" w:firstLine="506" w:firstLineChars="181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调整情况：2018年项目资金无调整情况。</w:t>
      </w:r>
    </w:p>
    <w:p>
      <w:pPr>
        <w:wordWrap/>
        <w:adjustRightInd/>
        <w:snapToGrid/>
        <w:spacing w:after="0" w:line="500" w:lineRule="exact"/>
        <w:ind w:right="0" w:firstLine="506" w:firstLineChars="181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验收情况：全部用于中小学项目建设及专用设备购置，无结余。</w:t>
      </w:r>
    </w:p>
    <w:p>
      <w:pPr>
        <w:wordWrap/>
        <w:adjustRightInd/>
        <w:snapToGrid/>
        <w:spacing w:after="0" w:line="500" w:lineRule="exact"/>
        <w:ind w:right="0" w:firstLine="494" w:firstLineChars="181"/>
        <w:textAlignment w:val="auto"/>
        <w:outlineLvl w:val="9"/>
        <w:rPr>
          <w:rStyle w:val="17"/>
          <w:rFonts w:hint="eastAsia" w:ascii="仿宋_GB2312" w:hAnsi="仿宋_GB2312" w:eastAsia="仿宋_GB2312" w:cs="仿宋_GB2312"/>
          <w:spacing w:val="-4"/>
          <w:sz w:val="28"/>
          <w:szCs w:val="28"/>
        </w:rPr>
      </w:pPr>
      <w:r>
        <w:rPr>
          <w:rStyle w:val="17"/>
          <w:rFonts w:hint="eastAsia" w:ascii="仿宋_GB2312" w:hAnsi="仿宋_GB2312" w:eastAsia="仿宋_GB2312" w:cs="仿宋_GB2312"/>
          <w:spacing w:val="-4"/>
          <w:sz w:val="28"/>
          <w:szCs w:val="28"/>
        </w:rPr>
        <w:t>（二）项目管理情况分析</w:t>
      </w:r>
    </w:p>
    <w:p>
      <w:pPr>
        <w:wordWrap/>
        <w:adjustRightInd/>
        <w:snapToGrid/>
        <w:spacing w:after="0" w:line="500" w:lineRule="exact"/>
        <w:ind w:right="0" w:firstLine="506" w:firstLineChars="181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项目管理制度建设：《玛纳斯县教育系统报账会计工作规则》、《学前三年免费教育补助资金使用管理试行办法》，严格按照资金管理办法进行实施。</w:t>
      </w:r>
    </w:p>
    <w:p>
      <w:pPr>
        <w:wordWrap/>
        <w:adjustRightInd/>
        <w:snapToGrid/>
        <w:spacing w:after="0" w:line="500" w:lineRule="exact"/>
        <w:ind w:right="0" w:firstLine="506" w:firstLineChars="181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日常监督管理情况：教科局每年对各学校、幼儿园的资金使用进行查阅，财政局每年对资金进行监督，定期进行“小金库”检查，确保资金全部用于中小学项目建设及公用经费支出。</w:t>
      </w:r>
    </w:p>
    <w:p>
      <w:pPr>
        <w:spacing w:after="0" w:line="540" w:lineRule="exact"/>
        <w:ind w:firstLine="640"/>
        <w:rPr>
          <w:rStyle w:val="17"/>
          <w:rFonts w:hint="eastAsia" w:ascii="黑体" w:hAnsi="黑体" w:eastAsia="黑体" w:cs="Times New Roman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Times New Roman"/>
          <w:b w:val="0"/>
          <w:spacing w:val="-4"/>
          <w:sz w:val="32"/>
          <w:szCs w:val="32"/>
        </w:rPr>
        <w:t>四、项目绩效情况</w:t>
      </w:r>
    </w:p>
    <w:p>
      <w:pPr>
        <w:wordWrap/>
        <w:adjustRightInd/>
        <w:snapToGrid/>
        <w:spacing w:after="0" w:line="500" w:lineRule="exact"/>
        <w:ind w:right="0" w:firstLine="494" w:firstLineChars="181"/>
        <w:textAlignment w:val="auto"/>
        <w:outlineLvl w:val="9"/>
        <w:rPr>
          <w:rFonts w:hint="eastAsia" w:ascii="仿宋_GB2312" w:hAnsi="仿宋_GB2312" w:eastAsia="仿宋_GB2312" w:cs="仿宋_GB2312"/>
          <w:b/>
          <w:spacing w:val="-4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pacing w:val="-4"/>
          <w:sz w:val="28"/>
          <w:szCs w:val="28"/>
        </w:rPr>
        <w:t>（一）项目绩效目标完成情况分析</w:t>
      </w:r>
    </w:p>
    <w:p>
      <w:pPr>
        <w:wordWrap/>
        <w:adjustRightInd/>
        <w:snapToGrid/>
        <w:spacing w:after="0" w:line="500" w:lineRule="exact"/>
        <w:ind w:right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本项目共设置一级指标3个、二级指标8个、三级指标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12个指标，其中已完成三级指标12个，指标完成率为100%。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right="0" w:rightChars="0" w:firstLine="640"/>
        <w:textAlignment w:val="auto"/>
        <w:outlineLvl w:val="9"/>
        <w:rPr>
          <w:rStyle w:val="17"/>
          <w:rFonts w:hint="eastAsia"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Style w:val="17"/>
          <w:rFonts w:hint="eastAsia" w:ascii="方正仿宋_GBK" w:hAnsi="方正仿宋_GBK" w:eastAsia="方正仿宋_GBK" w:cs="方正仿宋_GBK"/>
          <w:b/>
          <w:bCs/>
          <w:sz w:val="32"/>
          <w:szCs w:val="32"/>
        </w:rPr>
        <w:t>1、产出指标完成情况分析。</w:t>
      </w:r>
    </w:p>
    <w:p>
      <w:pPr>
        <w:wordWrap/>
        <w:adjustRightInd/>
        <w:snapToGrid/>
        <w:spacing w:after="0" w:line="500" w:lineRule="exact"/>
        <w:ind w:right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（1）项目完成数量。已全部按项目绩效目标申报设定数量完成，完成率100%。</w:t>
      </w:r>
    </w:p>
    <w:p>
      <w:pPr>
        <w:wordWrap/>
        <w:adjustRightInd/>
        <w:snapToGrid/>
        <w:spacing w:after="0" w:line="500" w:lineRule="exact"/>
        <w:ind w:right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（2）项目完成质量。该项目预计验收合格率100%，实际通过验收的工程量占建设总量的比率为100%。</w:t>
      </w:r>
    </w:p>
    <w:p>
      <w:pPr>
        <w:wordWrap/>
        <w:adjustRightInd/>
        <w:snapToGrid/>
        <w:spacing w:after="0" w:line="500" w:lineRule="exact"/>
        <w:ind w:right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（3）项目完成时效。按期完成的工程量占总工程量的比率100%。</w:t>
      </w:r>
    </w:p>
    <w:p>
      <w:pPr>
        <w:wordWrap/>
        <w:adjustRightInd/>
        <w:snapToGrid/>
        <w:spacing w:after="0" w:line="500" w:lineRule="exact"/>
        <w:ind w:right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（4）项目完成成本。该项目预计工程成本实际按照绩效目标申报完成任务。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right="0" w:rightChars="0" w:firstLine="640"/>
        <w:textAlignment w:val="auto"/>
        <w:outlineLvl w:val="9"/>
        <w:rPr>
          <w:rStyle w:val="17"/>
          <w:rFonts w:hint="eastAsia"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Style w:val="17"/>
          <w:rFonts w:hint="eastAsia" w:ascii="方正仿宋_GBK" w:hAnsi="方正仿宋_GBK" w:eastAsia="方正仿宋_GBK" w:cs="方正仿宋_GBK"/>
          <w:b/>
          <w:bCs/>
          <w:sz w:val="32"/>
          <w:szCs w:val="32"/>
        </w:rPr>
        <w:t>2</w:t>
      </w:r>
      <w:r>
        <w:rPr>
          <w:rStyle w:val="17"/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  <w:t>、</w:t>
      </w:r>
      <w:r>
        <w:rPr>
          <w:rStyle w:val="17"/>
          <w:rFonts w:hint="eastAsia" w:ascii="方正仿宋_GBK" w:hAnsi="方正仿宋_GBK" w:eastAsia="方正仿宋_GBK" w:cs="方正仿宋_GBK"/>
          <w:b/>
          <w:bCs/>
          <w:sz w:val="32"/>
          <w:szCs w:val="32"/>
        </w:rPr>
        <w:t>效益指标完成情况分析</w:t>
      </w:r>
    </w:p>
    <w:p>
      <w:pPr>
        <w:wordWrap/>
        <w:adjustRightInd/>
        <w:snapToGrid/>
        <w:spacing w:after="0" w:line="500" w:lineRule="exact"/>
        <w:ind w:right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（1）项目实施的经济效益分析。</w:t>
      </w:r>
      <w: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  <w:t>项目覆盖范围义务教育阶段学生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至少11412人。通过项目的实施，有促进经济健康发展。</w:t>
      </w:r>
    </w:p>
    <w:p>
      <w:pPr>
        <w:wordWrap/>
        <w:adjustRightInd/>
        <w:snapToGrid/>
        <w:spacing w:after="0" w:line="500" w:lineRule="exact"/>
        <w:ind w:right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（2）项目实施的社会效益分析。通过该项目的实施，有效解决学生就学问题。</w:t>
      </w:r>
    </w:p>
    <w:p>
      <w:pPr>
        <w:wordWrap/>
        <w:adjustRightInd/>
        <w:snapToGrid/>
        <w:spacing w:after="0" w:line="500" w:lineRule="exact"/>
        <w:ind w:right="0" w:firstLine="560" w:firstLineChars="200"/>
        <w:textAlignment w:val="auto"/>
        <w:outlineLvl w:val="9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（3）项目实施的可持续影响分析。通过该项目的实施，学前教育受助年限持续50年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right="0" w:rightChars="0" w:firstLine="640"/>
        <w:textAlignment w:val="auto"/>
        <w:outlineLvl w:val="9"/>
        <w:rPr>
          <w:rStyle w:val="17"/>
          <w:rFonts w:hint="eastAsia"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Style w:val="17"/>
          <w:rFonts w:hint="eastAsia" w:ascii="方正仿宋_GBK" w:hAnsi="方正仿宋_GBK" w:eastAsia="方正仿宋_GBK" w:cs="方正仿宋_GBK"/>
          <w:b w:val="0"/>
          <w:bCs w:val="0"/>
          <w:kern w:val="2"/>
          <w:sz w:val="32"/>
          <w:szCs w:val="32"/>
          <w:lang w:val="en-US" w:eastAsia="zh-CN" w:bidi="ar-SA"/>
        </w:rPr>
        <w:t>3</w:t>
      </w:r>
      <w:r>
        <w:rPr>
          <w:rStyle w:val="17"/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  <w:t>、</w:t>
      </w:r>
      <w:r>
        <w:rPr>
          <w:rStyle w:val="17"/>
          <w:rFonts w:hint="eastAsia" w:ascii="方正仿宋_GBK" w:hAnsi="方正仿宋_GBK" w:eastAsia="方正仿宋_GBK" w:cs="方正仿宋_GBK"/>
          <w:b/>
          <w:bCs/>
          <w:sz w:val="32"/>
          <w:szCs w:val="32"/>
        </w:rPr>
        <w:t>满意度指标完成情况分析</w:t>
      </w:r>
    </w:p>
    <w:p>
      <w:pPr>
        <w:wordWrap/>
        <w:adjustRightInd/>
        <w:snapToGrid/>
        <w:spacing w:after="0" w:line="500" w:lineRule="exact"/>
        <w:ind w:right="0" w:firstLine="492" w:firstLineChars="181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pacing w:val="-4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28"/>
          <w:szCs w:val="28"/>
          <w:lang w:val="en-US" w:eastAsia="zh-CN"/>
        </w:rPr>
        <w:t>满意度情况：接受学前三年免费教育幼儿、家长满意度大于</w:t>
      </w:r>
      <w:r>
        <w:rPr>
          <w:rFonts w:hint="default" w:ascii="仿宋_GB2312" w:hAnsi="仿宋_GB2312" w:eastAsia="仿宋_GB2312" w:cs="仿宋_GB2312"/>
          <w:b w:val="0"/>
          <w:bCs/>
          <w:spacing w:val="-4"/>
          <w:sz w:val="28"/>
          <w:szCs w:val="28"/>
          <w:lang w:val="en-US" w:eastAsia="zh-CN"/>
        </w:rPr>
        <w:t>95%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28"/>
          <w:szCs w:val="28"/>
          <w:lang w:val="en-US" w:eastAsia="zh-CN"/>
        </w:rPr>
        <w:t>。通过对2018年项目建设等项目的实施和社会群众走访调查，社会群体大部分认为玛纳斯县教育是一项得民心的惠民工程，该项目资金使用，在一定程度上解决了我县学校办学条件不足的问题，起到了良好的社会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right="0" w:rightChars="0" w:firstLine="640"/>
        <w:textAlignment w:val="auto"/>
        <w:outlineLvl w:val="9"/>
        <w:rPr>
          <w:rStyle w:val="17"/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</w:pPr>
      <w:r>
        <w:rPr>
          <w:rStyle w:val="17"/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  <w:t>（二）项目绩效目标未完成原因分析。</w:t>
      </w:r>
    </w:p>
    <w:p>
      <w:pPr>
        <w:wordWrap/>
        <w:adjustRightInd/>
        <w:snapToGrid/>
        <w:spacing w:after="0" w:line="500" w:lineRule="exact"/>
        <w:ind w:right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该项目已完成所有设定的绩效目标任务，完成率100%不存在未完成目标值情况。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right="0" w:rightChars="0" w:firstLine="643" w:firstLineChars="200"/>
        <w:textAlignment w:val="auto"/>
        <w:rPr>
          <w:rFonts w:hint="eastAsia" w:ascii="方正仿宋_GBK" w:hAnsi="方正仿宋_GBK" w:eastAsia="方正仿宋_GBK" w:cs="方正仿宋_GBK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highlight w:val="none"/>
          <w:lang w:val="en-US" w:eastAsia="zh-CN"/>
        </w:rPr>
        <w:t>预算执行进度与绩效指标偏差分析。</w:t>
      </w:r>
    </w:p>
    <w:p>
      <w:pPr>
        <w:wordWrap/>
        <w:adjustRightInd/>
        <w:snapToGrid/>
        <w:spacing w:after="0" w:line="500" w:lineRule="exact"/>
        <w:ind w:right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该项目预算执行进度与绩效指标总体完成率无偏差。</w:t>
      </w:r>
    </w:p>
    <w:p>
      <w:pPr>
        <w:spacing w:after="0" w:line="540" w:lineRule="exact"/>
        <w:ind w:firstLine="640"/>
        <w:rPr>
          <w:rStyle w:val="17"/>
          <w:rFonts w:hint="eastAsia" w:ascii="黑体" w:hAnsi="黑体" w:eastAsia="黑体" w:cs="Times New Roman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Times New Roman"/>
          <w:b w:val="0"/>
          <w:spacing w:val="-4"/>
          <w:sz w:val="32"/>
          <w:szCs w:val="32"/>
        </w:rPr>
        <w:t>五、其他需要说明的问题</w:t>
      </w:r>
    </w:p>
    <w:p>
      <w:pPr>
        <w:wordWrap/>
        <w:adjustRightInd/>
        <w:snapToGrid/>
        <w:spacing w:after="0" w:line="500" w:lineRule="exact"/>
        <w:ind w:right="0" w:firstLine="494" w:firstLineChars="181"/>
        <w:textAlignment w:val="auto"/>
        <w:outlineLvl w:val="9"/>
        <w:rPr>
          <w:rFonts w:hint="eastAsia" w:ascii="仿宋_GB2312" w:hAnsi="仿宋_GB2312" w:eastAsia="仿宋_GB2312" w:cs="仿宋_GB2312"/>
          <w:b/>
          <w:spacing w:val="-4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pacing w:val="-4"/>
          <w:sz w:val="28"/>
          <w:szCs w:val="28"/>
        </w:rPr>
        <w:t>（一）后续工作计划</w:t>
      </w:r>
    </w:p>
    <w:p>
      <w:pPr>
        <w:wordWrap/>
        <w:adjustRightInd/>
        <w:snapToGrid/>
        <w:spacing w:after="0" w:line="500" w:lineRule="exact"/>
        <w:ind w:right="0" w:firstLine="492" w:firstLineChars="181"/>
        <w:textAlignment w:val="auto"/>
        <w:outlineLvl w:val="9"/>
        <w:rPr>
          <w:rFonts w:hint="eastAsia" w:ascii="仿宋_GB2312" w:hAnsi="仿宋_GB2312" w:eastAsia="仿宋_GB2312" w:cs="仿宋_GB2312"/>
          <w:b/>
          <w:spacing w:val="-4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28"/>
          <w:szCs w:val="28"/>
          <w:lang w:eastAsia="zh-CN"/>
        </w:rPr>
        <w:t>为了不断改进办学条件，需要进一步加大学校建设力度，使学生学习的环境更加美好。</w:t>
      </w:r>
    </w:p>
    <w:p>
      <w:pPr>
        <w:wordWrap/>
        <w:adjustRightInd/>
        <w:snapToGrid/>
        <w:spacing w:after="0" w:line="500" w:lineRule="exact"/>
        <w:ind w:right="0" w:firstLine="494" w:firstLineChars="181"/>
        <w:textAlignment w:val="auto"/>
        <w:outlineLvl w:val="9"/>
        <w:rPr>
          <w:rFonts w:hint="eastAsia" w:ascii="仿宋_GB2312" w:hAnsi="仿宋_GB2312" w:eastAsia="仿宋_GB2312" w:cs="仿宋_GB2312"/>
          <w:b/>
          <w:spacing w:val="-4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pacing w:val="-4"/>
          <w:sz w:val="28"/>
          <w:szCs w:val="28"/>
        </w:rPr>
        <w:t>（二）主要经验及做法、存在问题和建议</w:t>
      </w:r>
    </w:p>
    <w:p>
      <w:pPr>
        <w:wordWrap/>
        <w:adjustRightInd/>
        <w:snapToGrid/>
        <w:spacing w:after="0" w:line="500" w:lineRule="exact"/>
        <w:ind w:right="0" w:firstLine="506" w:firstLineChars="181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经验及做法：教科局严格按照教育经费“校财局管校用”，加强教育经费的管理，根据《财政部 教育部关于印发“中小学财务制度”的通知》的精神，为进一步规范中小学财务行为，加强了财务管理和监督，提高了资金使用效益，明确了中小学校（园）财务管理体制、预算管理、收入管理、支出管理（公用经费支出范围）、学校采购物资、购置设备和专项资金管理的具体实施要求。</w:t>
      </w:r>
    </w:p>
    <w:p>
      <w:pPr>
        <w:wordWrap/>
        <w:adjustRightInd/>
        <w:snapToGrid/>
        <w:spacing w:after="0" w:line="500" w:lineRule="exact"/>
        <w:ind w:right="0" w:firstLine="506" w:firstLineChars="181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存在的问题：部分学校办学条件需要进一步改进。</w:t>
      </w:r>
    </w:p>
    <w:p>
      <w:pPr>
        <w:wordWrap/>
        <w:adjustRightInd/>
        <w:snapToGrid/>
        <w:spacing w:after="0" w:line="500" w:lineRule="exact"/>
        <w:ind w:right="0" w:firstLine="506" w:firstLineChars="181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改进措施和建议：加大资金投入，进一步改善办学条件。</w:t>
      </w:r>
    </w:p>
    <w:p>
      <w:pPr>
        <w:wordWrap/>
        <w:adjustRightInd/>
        <w:snapToGrid/>
        <w:spacing w:after="0" w:line="500" w:lineRule="exact"/>
        <w:ind w:right="0" w:firstLine="494" w:firstLineChars="181"/>
        <w:textAlignment w:val="auto"/>
        <w:outlineLvl w:val="9"/>
        <w:rPr>
          <w:rFonts w:hint="eastAsia" w:ascii="仿宋_GB2312" w:hAnsi="仿宋_GB2312" w:eastAsia="仿宋_GB2312" w:cs="仿宋_GB2312"/>
          <w:b/>
          <w:spacing w:val="-4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pacing w:val="-4"/>
          <w:sz w:val="28"/>
          <w:szCs w:val="28"/>
        </w:rPr>
        <w:t>（三）其他</w:t>
      </w:r>
    </w:p>
    <w:p>
      <w:pPr>
        <w:widowControl w:val="0"/>
        <w:wordWrap/>
        <w:adjustRightInd/>
        <w:snapToGrid/>
        <w:spacing w:after="0" w:line="500" w:lineRule="exact"/>
        <w:ind w:right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spacing w:val="-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无</w:t>
      </w:r>
    </w:p>
    <w:p>
      <w:pPr>
        <w:spacing w:after="0" w:line="540" w:lineRule="exact"/>
        <w:ind w:firstLine="640"/>
        <w:rPr>
          <w:rStyle w:val="17"/>
          <w:rFonts w:hint="eastAsia" w:ascii="黑体" w:hAnsi="黑体" w:eastAsia="黑体" w:cs="Times New Roman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Times New Roman"/>
          <w:b w:val="0"/>
          <w:spacing w:val="-4"/>
          <w:sz w:val="32"/>
          <w:szCs w:val="32"/>
        </w:rPr>
        <w:t>六、项目评价工作情况</w:t>
      </w:r>
    </w:p>
    <w:p>
      <w:pPr>
        <w:pStyle w:val="41"/>
        <w:shd w:val="clear" w:color="auto" w:fill="FFFFFF"/>
        <w:wordWrap/>
        <w:adjustRightInd/>
        <w:snapToGrid/>
        <w:spacing w:before="0" w:beforeAutospacing="0" w:after="0" w:afterAutospacing="0" w:line="500" w:lineRule="exact"/>
        <w:ind w:left="0" w:leftChars="0" w:right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eastAsia="zh-CN"/>
        </w:rPr>
        <w:t>在</w:t>
      </w:r>
      <w:r>
        <w:rPr>
          <w:rFonts w:hint="eastAsia" w:ascii="仿宋_GB2312" w:hAnsi="仿宋_GB2312" w:eastAsia="仿宋_GB2312" w:cs="仿宋_GB2312"/>
          <w:sz w:val="28"/>
          <w:szCs w:val="28"/>
        </w:rPr>
        <w:t>县委、县人民政府的坚强领导下，在各乡镇、各部门及社会各界的关心支持下，经过全县广大教育工作者的共同努力，我县教育工作得到了长足的发展。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学前教育整体水平不断提升，义务教育组建教育联盟，构建了“法人独立、互联互助、以强带弱、对</w:t>
      </w:r>
      <w:r>
        <w:rPr>
          <w:rFonts w:hint="eastAsia" w:ascii="仿宋_GB2312" w:hAnsi="仿宋_GB2312" w:eastAsia="仿宋_GB2312" w:cs="仿宋_GB2312"/>
          <w:sz w:val="28"/>
          <w:szCs w:val="28"/>
        </w:rPr>
        <w:t>口支援”的运行模式。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shd w:val="clear" w:color="auto" w:fill="FFFFFF"/>
        </w:rPr>
        <w:t>高中教育成绩喜人，连续三年稳步上升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shd w:val="clear" w:color="auto" w:fill="FFFFFF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</w:rPr>
        <w:t>政府、有关部门和教育系统牢固树立“抓教育就是抓发展、抓未来、抓核心竞争力”的理念，紧紧围绕提高义务教育巩固率、高中阶段教育普及率、人民群众满意率的工作要求，抓投入保障发展，抓改革促进发展，抓项目带动发展，抓质量提升发展，抓队伍支撑发展，努力使学生乐学、教师乐教、学校乐办、家长乐意、社会乐助，不断提升人民群众教育幸福指数，全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县</w:t>
      </w:r>
      <w:r>
        <w:rPr>
          <w:rFonts w:hint="eastAsia" w:ascii="仿宋_GB2312" w:hAnsi="仿宋_GB2312" w:eastAsia="仿宋_GB2312" w:cs="仿宋_GB2312"/>
          <w:sz w:val="28"/>
          <w:szCs w:val="28"/>
        </w:rPr>
        <w:t>教育事业科学发展迈出了新步伐，取得了新成效。</w:t>
      </w:r>
    </w:p>
    <w:p>
      <w:pPr>
        <w:spacing w:after="0" w:line="240" w:lineRule="auto"/>
        <w:ind w:firstLine="624" w:firstLineChars="200"/>
        <w:rPr>
          <w:rFonts w:hint="eastAsia" w:ascii="仿宋_GB2312" w:hAnsi="Times New Roman" w:eastAsia="仿宋_GB2312" w:cs="Times New Roman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/>
          <w:spacing w:val="-4"/>
          <w:sz w:val="32"/>
        </w:rPr>
        <w:t>在项目实施前经过充分论证，项目实施过程中严格管理，项目结束后继续跟踪项目效果，做好项目各项手续、财务管理、项目实施等工作。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/>
          <w:bCs w:val="0"/>
          <w:spacing w:val="-4"/>
          <w:sz w:val="32"/>
          <w:szCs w:val="32"/>
        </w:rPr>
        <w:t>《玛纳斯县财政项目支出绩效自评表》</w:t>
      </w: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7"/>
          <w:rFonts w:ascii="仿宋" w:hAnsi="仿宋" w:eastAsia="仿宋"/>
          <w:b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 xml:space="preserve">      </w:t>
      </w:r>
      <w:r>
        <w:rPr>
          <w:rStyle w:val="17"/>
          <w:rFonts w:hint="eastAsia" w:ascii="仿宋" w:hAnsi="仿宋" w:eastAsia="仿宋"/>
          <w:b/>
          <w:bCs w:val="0"/>
          <w:spacing w:val="-4"/>
          <w:sz w:val="32"/>
          <w:szCs w:val="32"/>
          <w:lang w:val="en-US" w:eastAsia="zh-CN"/>
        </w:rPr>
        <w:t xml:space="preserve"> </w:t>
      </w:r>
    </w:p>
    <w:tbl>
      <w:tblPr>
        <w:tblStyle w:val="15"/>
        <w:tblW w:w="902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2018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07"/>
                <w:tab w:val="center" w:pos="2952"/>
              </w:tabs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教育费附加支出：中小学项目建设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玛纳斯县教育和科学技术局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Style w:val="17"/>
                <w:rFonts w:hint="eastAsia" w:ascii="宋体" w:hAnsi="宋体" w:cs="宋体"/>
                <w:b w:val="0"/>
                <w:spacing w:val="-4"/>
                <w:sz w:val="20"/>
                <w:szCs w:val="20"/>
                <w:lang w:val="en-US" w:eastAsia="zh-CN"/>
              </w:rPr>
              <w:t>1695.88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Style w:val="17"/>
                <w:rFonts w:hint="eastAsia" w:ascii="宋体" w:hAnsi="宋体" w:cs="宋体"/>
                <w:b w:val="0"/>
                <w:spacing w:val="-4"/>
                <w:sz w:val="20"/>
                <w:szCs w:val="20"/>
                <w:lang w:val="en-US" w:eastAsia="zh-CN"/>
              </w:rPr>
              <w:t>1695.88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Style w:val="17"/>
                <w:rFonts w:hint="eastAsia" w:ascii="宋体" w:hAnsi="宋体" w:cs="宋体"/>
                <w:b w:val="0"/>
                <w:spacing w:val="-4"/>
                <w:sz w:val="20"/>
                <w:szCs w:val="20"/>
                <w:lang w:val="en-US" w:eastAsia="zh-CN"/>
              </w:rPr>
              <w:t>1695.88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Style w:val="17"/>
                <w:rFonts w:hint="eastAsia" w:ascii="宋体" w:hAnsi="宋体" w:cs="宋体"/>
                <w:b w:val="0"/>
                <w:spacing w:val="-4"/>
                <w:sz w:val="20"/>
                <w:szCs w:val="20"/>
                <w:lang w:val="en-US" w:eastAsia="zh-CN"/>
              </w:rPr>
              <w:t>1695.88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after="0" w:line="340" w:lineRule="exact"/>
              <w:ind w:left="0" w:leftChars="0" w:right="0" w:firstLine="400" w:firstLineChars="20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以科学发展观为指导,以促进教育均衡发展为目标,以办人民满意的教育为宗旨,按照“结构、规模、质量、效益”相协调的思路,坚持把调整学校布局整合教育资源工作摆在战略地位,突出重点,加大力度,进一步科学配置教育资源,切实解决好学校布局不合理、办学条件不达标、教育资源短缺以及整体资源使用效益不高等突出问题,努力构建结构合理、布局科学、建设达标、质量效益较高的教育发展新格局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以科学发展观为指导,以促进教育均衡发展为目标,以办人民满意的教育为宗旨,按照“结构、规模、质量、效益”相协调的思路,坚持把调整学校布局整合教育资源工作摆在战略地位,突出重点,加大力度,进一步科学配置教育资源,切实解决好学校布局不合理、办学条件不达标、教育资源短缺以及整体资源使用效益不高等突出问题,努力构建结构合理、布局科学、建设达标、质量效益较高的教育发展新格局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项目建设涉及贫困地区学校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1所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1所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校舍单体建筑面积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tabs>
                <w:tab w:val="left" w:pos="547"/>
                <w:tab w:val="center" w:pos="1742"/>
              </w:tabs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15000平方米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tabs>
                <w:tab w:val="left" w:pos="547"/>
                <w:tab w:val="center" w:pos="1742"/>
              </w:tabs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15000平方米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校舍竣工验收合格率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校舍建设质量标准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合格以上档次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合格以上档次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校舍建设周期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8个月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8个月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校舍类项目每平方米造价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≤2500元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2500元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围墙每米造价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≤700元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700元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消防水池及设备每</w:t>
            </w:r>
            <w:r>
              <w:rPr>
                <w:rFonts w:hint="eastAsia" w:ascii="宋体" w:hAnsi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val="en-US" w:eastAsia="zh-CN"/>
              </w:rPr>
              <w:t>平方</w:t>
            </w: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米造价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≤120元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120元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项目覆盖范围义务教育阶段学生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≥11412人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11412人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校舍、运动场持续使用年限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≥50年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50年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学前教育受助年限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≥50年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50年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接受学前三年免费教育幼儿、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家长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≥95%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95%</w:t>
            </w:r>
          </w:p>
        </w:tc>
      </w:tr>
    </w:tbl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1</w:t>
    </w:r>
    <w:r>
      <w:fldChar w:fldCharType="end"/>
    </w:r>
  </w:p>
  <w:p>
    <w:pPr>
      <w:pStyle w:val="11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4B5E1"/>
    <w:multiLevelType w:val="singleLevel"/>
    <w:tmpl w:val="0264B5E1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4B83184"/>
    <w:rsid w:val="18244D83"/>
    <w:rsid w:val="1F081048"/>
    <w:rsid w:val="229A20CD"/>
    <w:rsid w:val="38766179"/>
    <w:rsid w:val="41F74AE6"/>
    <w:rsid w:val="42B217D1"/>
    <w:rsid w:val="45F01D93"/>
    <w:rsid w:val="4A8267D9"/>
    <w:rsid w:val="658E4F11"/>
    <w:rsid w:val="734B00AD"/>
    <w:rsid w:val="7521652A"/>
    <w:rsid w:val="7563596B"/>
    <w:rsid w:val="774A7E56"/>
    <w:rsid w:val="77A66CDC"/>
    <w:rsid w:val="7D116E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qFormat="1"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uiPriority w:val="0"/>
    <w:pPr>
      <w:keepNext/>
      <w:widowControl/>
      <w:spacing w:before="240" w:after="60"/>
      <w:jc w:val="left"/>
      <w:outlineLvl w:val="0"/>
    </w:pPr>
    <w:rPr>
      <w:rFonts w:ascii="Cambria" w:hAnsi="Cambria" w:eastAsia="宋体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0"/>
    <w:qFormat/>
    <w:uiPriority w:val="0"/>
    <w:pPr>
      <w:keepNext/>
      <w:widowControl/>
      <w:spacing w:before="240" w:after="60"/>
      <w:jc w:val="left"/>
      <w:outlineLvl w:val="1"/>
    </w:pPr>
    <w:rPr>
      <w:rFonts w:ascii="Cambria" w:hAnsi="Cambria" w:eastAsia="宋体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1"/>
    <w:uiPriority w:val="0"/>
    <w:pPr>
      <w:keepNext/>
      <w:widowControl/>
      <w:spacing w:before="240" w:after="60"/>
      <w:jc w:val="left"/>
      <w:outlineLvl w:val="2"/>
    </w:pPr>
    <w:rPr>
      <w:rFonts w:ascii="Cambria" w:hAnsi="Cambria" w:eastAsia="宋体"/>
      <w:b/>
      <w:bCs/>
      <w:sz w:val="26"/>
      <w:szCs w:val="26"/>
    </w:rPr>
  </w:style>
  <w:style w:type="paragraph" w:styleId="5">
    <w:name w:val="heading 4"/>
    <w:basedOn w:val="1"/>
    <w:next w:val="1"/>
    <w:link w:val="22"/>
    <w:uiPriority w:val="0"/>
    <w:pPr>
      <w:keepNext/>
      <w:widowControl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23"/>
    <w:uiPriority w:val="0"/>
    <w:pPr>
      <w:widowControl/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4"/>
    <w:qFormat/>
    <w:uiPriority w:val="0"/>
    <w:pPr>
      <w:widowControl/>
      <w:spacing w:before="240" w:after="60"/>
      <w:jc w:val="left"/>
      <w:outlineLvl w:val="5"/>
    </w:pPr>
    <w:rPr>
      <w:b/>
      <w:bCs/>
    </w:rPr>
  </w:style>
  <w:style w:type="paragraph" w:styleId="8">
    <w:name w:val="heading 7"/>
    <w:basedOn w:val="1"/>
    <w:next w:val="1"/>
    <w:link w:val="25"/>
    <w:qFormat/>
    <w:uiPriority w:val="0"/>
    <w:pPr>
      <w:widowControl/>
      <w:spacing w:before="240" w:after="60"/>
      <w:jc w:val="left"/>
      <w:outlineLvl w:val="6"/>
    </w:pPr>
    <w:rPr>
      <w:sz w:val="24"/>
      <w:szCs w:val="24"/>
    </w:rPr>
  </w:style>
  <w:style w:type="paragraph" w:styleId="9">
    <w:name w:val="heading 8"/>
    <w:basedOn w:val="1"/>
    <w:next w:val="1"/>
    <w:link w:val="26"/>
    <w:qFormat/>
    <w:uiPriority w:val="0"/>
    <w:pPr>
      <w:widowControl/>
      <w:spacing w:before="240" w:after="60"/>
      <w:jc w:val="left"/>
      <w:outlineLvl w:val="7"/>
    </w:pPr>
    <w:rPr>
      <w:i/>
      <w:iCs/>
      <w:sz w:val="24"/>
      <w:szCs w:val="24"/>
    </w:rPr>
  </w:style>
  <w:style w:type="paragraph" w:styleId="10">
    <w:name w:val="heading 9"/>
    <w:basedOn w:val="1"/>
    <w:next w:val="1"/>
    <w:link w:val="27"/>
    <w:uiPriority w:val="0"/>
    <w:pPr>
      <w:widowControl/>
      <w:spacing w:before="240" w:after="60"/>
      <w:jc w:val="left"/>
      <w:outlineLvl w:val="8"/>
    </w:pPr>
    <w:rPr>
      <w:rFonts w:ascii="Cambria" w:hAnsi="Cambria" w:eastAsia="宋体"/>
    </w:rPr>
  </w:style>
  <w:style w:type="character" w:default="1" w:styleId="16">
    <w:name w:val="Default Paragraph Font"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2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kern w:val="2"/>
      <w:sz w:val="18"/>
      <w:szCs w:val="18"/>
    </w:rPr>
  </w:style>
  <w:style w:type="paragraph" w:styleId="12">
    <w:name w:val="header"/>
    <w:basedOn w:val="1"/>
    <w:link w:val="2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kern w:val="2"/>
      <w:sz w:val="18"/>
      <w:szCs w:val="18"/>
    </w:rPr>
  </w:style>
  <w:style w:type="paragraph" w:styleId="13">
    <w:name w:val="Subtitle"/>
    <w:basedOn w:val="1"/>
    <w:next w:val="1"/>
    <w:link w:val="30"/>
    <w:qFormat/>
    <w:uiPriority w:val="0"/>
    <w:pPr>
      <w:widowControl/>
      <w:spacing w:after="60"/>
      <w:jc w:val="center"/>
      <w:outlineLvl w:val="1"/>
    </w:pPr>
    <w:rPr>
      <w:rFonts w:ascii="Cambria" w:hAnsi="Cambria" w:eastAsia="宋体"/>
      <w:sz w:val="24"/>
      <w:szCs w:val="24"/>
    </w:rPr>
  </w:style>
  <w:style w:type="paragraph" w:styleId="14">
    <w:name w:val="Title"/>
    <w:basedOn w:val="1"/>
    <w:next w:val="1"/>
    <w:link w:val="31"/>
    <w:qFormat/>
    <w:uiPriority w:val="0"/>
    <w:pPr>
      <w:widowControl/>
      <w:spacing w:before="240" w:after="60"/>
      <w:jc w:val="center"/>
      <w:outlineLvl w:val="0"/>
    </w:pPr>
    <w:rPr>
      <w:rFonts w:ascii="Cambria" w:hAnsi="Cambria" w:eastAsia="宋体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basedOn w:val="16"/>
    <w:qFormat/>
    <w:uiPriority w:val="0"/>
    <w:rPr>
      <w:rFonts w:ascii="Calibri" w:hAnsi="Calibri"/>
      <w:b/>
      <w:i/>
      <w:iCs/>
    </w:rPr>
  </w:style>
  <w:style w:type="character" w:customStyle="1" w:styleId="19">
    <w:name w:val="标题 1 Char"/>
    <w:basedOn w:val="16"/>
    <w:link w:val="2"/>
    <w:semiHidden/>
    <w:qFormat/>
    <w:uiPriority w:val="0"/>
    <w:rPr>
      <w:rFonts w:ascii="Cambria" w:hAnsi="Cambria" w:eastAsia="宋体"/>
      <w:b/>
      <w:bCs/>
      <w:kern w:val="32"/>
      <w:sz w:val="32"/>
      <w:szCs w:val="32"/>
    </w:rPr>
  </w:style>
  <w:style w:type="character" w:customStyle="1" w:styleId="20">
    <w:name w:val="标题 2 Char"/>
    <w:basedOn w:val="16"/>
    <w:link w:val="3"/>
    <w:semiHidden/>
    <w:qFormat/>
    <w:uiPriority w:val="0"/>
    <w:rPr>
      <w:rFonts w:ascii="Cambria" w:hAnsi="Cambria" w:eastAsia="宋体"/>
      <w:b/>
      <w:bCs/>
      <w:i/>
      <w:iCs/>
      <w:sz w:val="28"/>
      <w:szCs w:val="28"/>
    </w:rPr>
  </w:style>
  <w:style w:type="character" w:customStyle="1" w:styleId="21">
    <w:name w:val="标题 3 Char"/>
    <w:basedOn w:val="16"/>
    <w:link w:val="4"/>
    <w:semiHidden/>
    <w:qFormat/>
    <w:uiPriority w:val="0"/>
    <w:rPr>
      <w:rFonts w:ascii="Cambria" w:hAnsi="Cambria" w:eastAsia="宋体"/>
      <w:b/>
      <w:bCs/>
      <w:sz w:val="26"/>
      <w:szCs w:val="26"/>
    </w:rPr>
  </w:style>
  <w:style w:type="character" w:customStyle="1" w:styleId="22">
    <w:name w:val="标题 4 Char"/>
    <w:basedOn w:val="16"/>
    <w:link w:val="5"/>
    <w:semiHidden/>
    <w:qFormat/>
    <w:uiPriority w:val="0"/>
    <w:rPr>
      <w:b/>
      <w:bCs/>
      <w:sz w:val="28"/>
      <w:szCs w:val="28"/>
    </w:rPr>
  </w:style>
  <w:style w:type="character" w:customStyle="1" w:styleId="23">
    <w:name w:val="标题 5 Char"/>
    <w:basedOn w:val="16"/>
    <w:link w:val="6"/>
    <w:semiHidden/>
    <w:qFormat/>
    <w:uiPriority w:val="0"/>
    <w:rPr>
      <w:b/>
      <w:bCs/>
      <w:i/>
      <w:iCs/>
      <w:sz w:val="26"/>
      <w:szCs w:val="26"/>
    </w:rPr>
  </w:style>
  <w:style w:type="character" w:customStyle="1" w:styleId="24">
    <w:name w:val="标题 6 Char"/>
    <w:basedOn w:val="16"/>
    <w:link w:val="7"/>
    <w:semiHidden/>
    <w:qFormat/>
    <w:uiPriority w:val="0"/>
    <w:rPr>
      <w:b/>
      <w:bCs/>
    </w:rPr>
  </w:style>
  <w:style w:type="character" w:customStyle="1" w:styleId="25">
    <w:name w:val="标题 7 Char"/>
    <w:basedOn w:val="16"/>
    <w:link w:val="8"/>
    <w:semiHidden/>
    <w:qFormat/>
    <w:uiPriority w:val="0"/>
    <w:rPr>
      <w:sz w:val="24"/>
      <w:szCs w:val="24"/>
    </w:rPr>
  </w:style>
  <w:style w:type="character" w:customStyle="1" w:styleId="26">
    <w:name w:val="标题 8 Char"/>
    <w:basedOn w:val="16"/>
    <w:link w:val="9"/>
    <w:semiHidden/>
    <w:uiPriority w:val="0"/>
    <w:rPr>
      <w:i/>
      <w:iCs/>
      <w:sz w:val="24"/>
      <w:szCs w:val="24"/>
    </w:rPr>
  </w:style>
  <w:style w:type="character" w:customStyle="1" w:styleId="27">
    <w:name w:val="标题 9 Char"/>
    <w:basedOn w:val="16"/>
    <w:link w:val="10"/>
    <w:semiHidden/>
    <w:qFormat/>
    <w:uiPriority w:val="0"/>
    <w:rPr>
      <w:rFonts w:ascii="Cambria" w:hAnsi="Cambria" w:eastAsia="宋体"/>
    </w:rPr>
  </w:style>
  <w:style w:type="character" w:customStyle="1" w:styleId="28">
    <w:name w:val="页脚 Char"/>
    <w:basedOn w:val="16"/>
    <w:link w:val="11"/>
    <w:semiHidden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29">
    <w:name w:val="页眉 Char"/>
    <w:basedOn w:val="16"/>
    <w:link w:val="12"/>
    <w:semiHidden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30">
    <w:name w:val="副标题 Char"/>
    <w:basedOn w:val="16"/>
    <w:link w:val="13"/>
    <w:semiHidden/>
    <w:qFormat/>
    <w:uiPriority w:val="0"/>
    <w:rPr>
      <w:rFonts w:ascii="Cambria" w:hAnsi="Cambria" w:eastAsia="宋体"/>
      <w:sz w:val="24"/>
      <w:szCs w:val="24"/>
    </w:rPr>
  </w:style>
  <w:style w:type="character" w:customStyle="1" w:styleId="31">
    <w:name w:val="标题 Char"/>
    <w:basedOn w:val="16"/>
    <w:link w:val="14"/>
    <w:semiHidden/>
    <w:qFormat/>
    <w:uiPriority w:val="0"/>
    <w:rPr>
      <w:rFonts w:ascii="Cambria" w:hAnsi="Cambria" w:eastAsia="宋体"/>
      <w:b/>
      <w:bCs/>
      <w:kern w:val="28"/>
      <w:sz w:val="32"/>
      <w:szCs w:val="32"/>
    </w:rPr>
  </w:style>
  <w:style w:type="paragraph" w:customStyle="1" w:styleId="32">
    <w:name w:val="table of authorities"/>
    <w:basedOn w:val="1"/>
    <w:next w:val="1"/>
    <w:qFormat/>
    <w:uiPriority w:val="0"/>
    <w:pPr>
      <w:ind w:left="420" w:leftChars="200"/>
    </w:pPr>
    <w:rPr>
      <w:rFonts w:ascii="Times New Roman" w:hAnsi="Times New Roman" w:eastAsia="宋体" w:cs="Times New Roman"/>
    </w:rPr>
  </w:style>
  <w:style w:type="paragraph" w:customStyle="1" w:styleId="33">
    <w:name w:val="Block Text"/>
    <w:basedOn w:val="1"/>
    <w:next w:val="1"/>
    <w:link w:val="43"/>
    <w:qFormat/>
    <w:uiPriority w:val="0"/>
    <w:pPr>
      <w:widowControl/>
      <w:jc w:val="left"/>
    </w:pPr>
    <w:rPr>
      <w:i/>
      <w:sz w:val="24"/>
      <w:szCs w:val="24"/>
    </w:rPr>
  </w:style>
  <w:style w:type="paragraph" w:customStyle="1" w:styleId="34">
    <w:name w:val="批注框文本 Char Char"/>
    <w:basedOn w:val="1"/>
    <w:link w:val="42"/>
    <w:qFormat/>
    <w:uiPriority w:val="0"/>
    <w:rPr>
      <w:rFonts w:ascii="Times New Roman" w:hAnsi="Times New Roman" w:eastAsia="宋体"/>
      <w:kern w:val="2"/>
      <w:sz w:val="18"/>
      <w:szCs w:val="18"/>
    </w:rPr>
  </w:style>
  <w:style w:type="paragraph" w:customStyle="1" w:styleId="35">
    <w:name w:val="No Spacing"/>
    <w:basedOn w:val="1"/>
    <w:qFormat/>
    <w:uiPriority w:val="0"/>
    <w:pPr>
      <w:widowControl/>
      <w:jc w:val="left"/>
    </w:pPr>
    <w:rPr>
      <w:rFonts w:ascii="Calibri" w:hAnsi="Calibri" w:eastAsia="宋体" w:cs="Times New Roman"/>
      <w:kern w:val="0"/>
      <w:sz w:val="24"/>
      <w:szCs w:val="32"/>
      <w:lang w:val="en-US" w:eastAsia="en-US" w:bidi="en-US"/>
    </w:rPr>
  </w:style>
  <w:style w:type="paragraph" w:customStyle="1" w:styleId="36">
    <w:name w:val="List Paragraph"/>
    <w:basedOn w:val="1"/>
    <w:qFormat/>
    <w:uiPriority w:val="0"/>
    <w:pPr>
      <w:widowControl/>
      <w:ind w:left="720"/>
      <w:contextualSpacing/>
      <w:jc w:val="left"/>
    </w:pPr>
    <w:rPr>
      <w:rFonts w:ascii="Calibri" w:hAnsi="Calibri" w:eastAsia="宋体"/>
      <w:kern w:val="0"/>
      <w:sz w:val="24"/>
      <w:lang w:eastAsia="en-US" w:bidi="en-US"/>
    </w:rPr>
  </w:style>
  <w:style w:type="paragraph" w:customStyle="1" w:styleId="37">
    <w:name w:val="Intense Quote"/>
    <w:basedOn w:val="1"/>
    <w:next w:val="1"/>
    <w:link w:val="44"/>
    <w:qFormat/>
    <w:uiPriority w:val="0"/>
    <w:pPr>
      <w:widowControl/>
      <w:ind w:left="720" w:right="720"/>
      <w:jc w:val="left"/>
    </w:pPr>
    <w:rPr>
      <w:b/>
      <w:i/>
      <w:sz w:val="24"/>
    </w:rPr>
  </w:style>
  <w:style w:type="paragraph" w:customStyle="1" w:styleId="38">
    <w:name w:val="TOC 标题1"/>
    <w:basedOn w:val="2"/>
    <w:next w:val="1"/>
    <w:qFormat/>
    <w:uiPriority w:val="0"/>
    <w:pPr>
      <w:outlineLvl w:val="9"/>
    </w:pPr>
    <w:rPr>
      <w:lang w:eastAsia="en-US" w:bidi="en-US"/>
    </w:rPr>
  </w:style>
  <w:style w:type="paragraph" w:customStyle="1" w:styleId="3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paragraph" w:customStyle="1" w:styleId="40">
    <w:name w:val="引文目录1"/>
    <w:basedOn w:val="1"/>
    <w:next w:val="1"/>
    <w:qFormat/>
    <w:uiPriority w:val="0"/>
    <w:pPr>
      <w:ind w:left="420" w:leftChars="200"/>
    </w:pPr>
    <w:rPr>
      <w:rFonts w:ascii="Times New Roman" w:hAnsi="Times New Roman" w:eastAsia="宋体" w:cs="Times New Roman"/>
    </w:rPr>
  </w:style>
  <w:style w:type="paragraph" w:customStyle="1" w:styleId="41">
    <w:name w:val="HTML Address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character" w:customStyle="1" w:styleId="42">
    <w:name w:val="批注框文本 Char Char Char Char"/>
    <w:basedOn w:val="16"/>
    <w:link w:val="34"/>
    <w:semiHidden/>
    <w:qFormat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43">
    <w:name w:val="引用 Char"/>
    <w:basedOn w:val="16"/>
    <w:link w:val="33"/>
    <w:semiHidden/>
    <w:qFormat/>
    <w:uiPriority w:val="0"/>
    <w:rPr>
      <w:i/>
      <w:sz w:val="24"/>
      <w:szCs w:val="24"/>
    </w:rPr>
  </w:style>
  <w:style w:type="character" w:customStyle="1" w:styleId="44">
    <w:name w:val="明显引用 Char"/>
    <w:basedOn w:val="16"/>
    <w:link w:val="37"/>
    <w:semiHidden/>
    <w:qFormat/>
    <w:uiPriority w:val="0"/>
    <w:rPr>
      <w:b/>
      <w:i/>
      <w:sz w:val="24"/>
    </w:rPr>
  </w:style>
  <w:style w:type="character" w:customStyle="1" w:styleId="45">
    <w:name w:val="不明显强调1"/>
    <w:qFormat/>
    <w:uiPriority w:val="0"/>
    <w:rPr>
      <w:i/>
      <w:color w:val="565656"/>
    </w:rPr>
  </w:style>
  <w:style w:type="character" w:customStyle="1" w:styleId="46">
    <w:name w:val="明显强调1"/>
    <w:basedOn w:val="16"/>
    <w:qFormat/>
    <w:uiPriority w:val="0"/>
    <w:rPr>
      <w:b/>
      <w:i/>
      <w:sz w:val="24"/>
      <w:szCs w:val="24"/>
      <w:u w:val="single"/>
    </w:rPr>
  </w:style>
  <w:style w:type="character" w:customStyle="1" w:styleId="47">
    <w:name w:val="不明显参考1"/>
    <w:basedOn w:val="16"/>
    <w:qFormat/>
    <w:uiPriority w:val="0"/>
    <w:rPr>
      <w:sz w:val="24"/>
      <w:szCs w:val="24"/>
      <w:u w:val="single"/>
    </w:rPr>
  </w:style>
  <w:style w:type="character" w:customStyle="1" w:styleId="48">
    <w:name w:val="明显参考1"/>
    <w:basedOn w:val="16"/>
    <w:qFormat/>
    <w:uiPriority w:val="0"/>
    <w:rPr>
      <w:b/>
      <w:sz w:val="24"/>
      <w:u w:val="single"/>
    </w:rPr>
  </w:style>
  <w:style w:type="character" w:customStyle="1" w:styleId="49">
    <w:name w:val="书籍标题1"/>
    <w:basedOn w:val="16"/>
    <w:qFormat/>
    <w:uiPriority w:val="0"/>
    <w:rPr>
      <w:rFonts w:ascii="Cambria" w:hAnsi="Cambria" w:eastAsia="宋体"/>
      <w:b/>
      <w:i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203</Words>
  <Characters>1159</Characters>
  <Lines>9</Lines>
  <Paragraphs>2</Paragraphs>
  <TotalTime>1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2018-08-18T02:06:00Z</dcterms:created>
  <dc:creator>赵 恺（预算处）</dc:creator>
  <cp:lastModifiedBy>Administrator</cp:lastModifiedBy>
  <cp:lastPrinted>2019-01-16T05:40:00Z</cp:lastPrinted>
  <dcterms:modified xsi:type="dcterms:W3CDTF">2019-10-25T05:25:10Z</dcterms:modified>
  <dc:title>Microsoft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