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ascii="仿宋_GB2312" w:hAnsi="仿宋_GB2312" w:eastAsia="仿宋_GB2312" w:cs="仿宋_GB2312"/>
          <w:kern w:val="0"/>
          <w:sz w:val="36"/>
          <w:szCs w:val="36"/>
          <w:lang w:val="zh-TW" w:eastAsia="zh-TW"/>
        </w:rPr>
        <w:t>中央政法</w:t>
      </w:r>
      <w:r>
        <w:rPr>
          <w:rFonts w:hint="eastAsia" w:ascii="仿宋_GB2312" w:hAnsi="仿宋_GB2312" w:eastAsia="仿宋_GB2312" w:cs="仿宋_GB2312"/>
          <w:kern w:val="0"/>
          <w:sz w:val="36"/>
          <w:szCs w:val="36"/>
          <w:lang w:val="zh-TW"/>
        </w:rPr>
        <w:t>转移办案（业务</w:t>
      </w:r>
      <w:r>
        <w:rPr>
          <w:rFonts w:ascii="仿宋_GB2312" w:hAnsi="仿宋_GB2312" w:eastAsia="仿宋_GB2312" w:cs="仿宋_GB2312"/>
          <w:kern w:val="0"/>
          <w:sz w:val="36"/>
          <w:szCs w:val="36"/>
          <w:lang w:val="zh-TW"/>
        </w:rPr>
        <w:t>）</w:t>
      </w:r>
      <w:r>
        <w:rPr>
          <w:rFonts w:hint="eastAsia" w:ascii="仿宋_GB2312" w:hAnsi="仿宋_GB2312" w:eastAsia="仿宋_GB2312" w:cs="仿宋_GB2312"/>
          <w:kern w:val="0"/>
          <w:sz w:val="36"/>
          <w:szCs w:val="36"/>
          <w:lang w:val="zh-TW"/>
        </w:rPr>
        <w:t>经费及（业务）装备</w:t>
      </w:r>
      <w:r>
        <w:rPr>
          <w:rFonts w:hint="eastAsia" w:ascii="仿宋_GB2312" w:hAnsi="仿宋_GB2312" w:eastAsia="仿宋_GB2312" w:cs="仿宋_GB2312"/>
          <w:kern w:val="0"/>
          <w:sz w:val="36"/>
          <w:szCs w:val="36"/>
          <w:lang w:val="zh-TW" w:eastAsia="zh-TW"/>
        </w:rPr>
        <w:t>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实施单位（公章）：玛纳斯县人民法院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填报时间：2019年1月20日</w:t>
      </w:r>
    </w:p>
    <w:p>
      <w:pPr>
        <w:spacing w:line="540" w:lineRule="exact"/>
        <w:jc w:val="center"/>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spacing w:line="540" w:lineRule="exact"/>
        <w:ind w:firstLine="567"/>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1、主要职能：</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1）、受理单位和个人的报案、控告、申诉、举报以及犯罪嫌疑人的自首；。</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2）、依法对刑事诉讼、民事审判和行政诉讼实行法律监督工作；</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3）、依法对执行机关执行罪罚的活动是否合法实行监督；</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4）、对法院已经发生法律效力、确有错误的判决和裁定，依法提请抗诉。</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2、机构情况：</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从决算单位构成看，检察院决算是部门本级决算，无下属单位。检察院内设11个局科室，包括：检务保障科、政工科、公诉科、侦查监督科、纪检督查室、案管办、控告申诉科、民行科、研究室、监所科、法警队。</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3、人员及车辆情况：</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玛纳斯县人民检察院政法编制37名，其中：行政政法编制35个，工勤编制2个。2018年末实有在职干警40名（其中：行政在职人员37人，工勤人员3人），临时聘用人员12人。实有车辆编制11个，在编实有车辆9辆。</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方正仿宋_GBK" w:hAnsi="方正仿宋_GBK" w:eastAsia="方正仿宋_GBK" w:cs="方正仿宋_GBK"/>
          <w:b w:val="0"/>
          <w:bCs w:val="0"/>
          <w:spacing w:val="-4"/>
          <w:sz w:val="32"/>
          <w:szCs w:val="32"/>
          <w:lang w:val="en-US" w:eastAsia="zh-CN"/>
        </w:rPr>
      </w:pPr>
      <w:r>
        <w:rPr>
          <w:rStyle w:val="18"/>
          <w:rFonts w:hint="eastAsia" w:ascii="仿宋" w:hAnsi="仿宋" w:eastAsia="仿宋"/>
          <w:b w:val="0"/>
          <w:spacing w:val="-4"/>
          <w:sz w:val="32"/>
          <w:szCs w:val="32"/>
          <w:lang w:eastAsia="zh-CN"/>
        </w:rPr>
        <w:t>本项目共设置一级指标3个、二级指标</w:t>
      </w:r>
      <w:r>
        <w:rPr>
          <w:rStyle w:val="18"/>
          <w:rFonts w:hint="eastAsia" w:ascii="仿宋" w:hAnsi="仿宋" w:eastAsia="仿宋"/>
          <w:b w:val="0"/>
          <w:spacing w:val="-4"/>
          <w:sz w:val="32"/>
          <w:szCs w:val="32"/>
          <w:lang w:val="en-US" w:eastAsia="zh-CN"/>
        </w:rPr>
        <w:t>9个、三级指标18个指标。三级指标可量化15个，占比83.33%，具体是：</w:t>
      </w:r>
      <w:r>
        <w:rPr>
          <w:rStyle w:val="18"/>
          <w:rFonts w:hint="eastAsia" w:ascii="仿宋" w:hAnsi="仿宋" w:eastAsia="仿宋"/>
          <w:b w:val="0"/>
          <w:spacing w:val="-4"/>
          <w:sz w:val="32"/>
          <w:szCs w:val="32"/>
        </w:rPr>
        <w:t>全年共受理审查逮捕类案件52件，批准逮捕案件49件，刑事案件批捕率94%；全年共受理审查起诉类案件126件，起诉案件107件，公诉案件结案率84%；全年共受理公益诉讼类案件302件，提出公益诉讼案件的检察建议和公告的案件率80%全年共受理信访案件数量36件，受理信访案件结案率100%；全年受理减刑、假释、暂予监外执行案件数量0件，减刑、假释、暂予监外执行结案率0。</w:t>
      </w:r>
    </w:p>
    <w:p>
      <w:pPr>
        <w:keepNext w:val="0"/>
        <w:keepLines w:val="0"/>
        <w:pageBreakBefore w:val="0"/>
        <w:widowControl w:val="0"/>
        <w:kinsoku/>
        <w:wordWrap/>
        <w:overflowPunct/>
        <w:topLinePunct w:val="0"/>
        <w:autoSpaceDE/>
        <w:autoSpaceDN/>
        <w:bidi w:val="0"/>
        <w:adjustRightInd w:val="0"/>
        <w:snapToGrid w:val="0"/>
        <w:spacing w:line="540" w:lineRule="exact"/>
        <w:ind w:firstLine="627" w:firstLineChars="200"/>
        <w:textAlignment w:val="auto"/>
        <w:outlineLvl w:val="9"/>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lang w:eastAsia="zh-CN"/>
        </w:rPr>
        <w:t>该项目属于</w:t>
      </w:r>
      <w:r>
        <w:rPr>
          <w:rStyle w:val="18"/>
          <w:rFonts w:hint="eastAsia" w:ascii="仿宋" w:hAnsi="仿宋" w:eastAsia="仿宋"/>
          <w:b w:val="0"/>
          <w:spacing w:val="-4"/>
          <w:sz w:val="32"/>
          <w:szCs w:val="32"/>
          <w:lang w:val="en-US" w:eastAsia="zh-CN"/>
        </w:rPr>
        <w:t>经费</w:t>
      </w:r>
      <w:r>
        <w:rPr>
          <w:rStyle w:val="18"/>
          <w:rFonts w:hint="eastAsia" w:ascii="仿宋" w:hAnsi="仿宋" w:eastAsia="仿宋"/>
          <w:b w:val="0"/>
          <w:spacing w:val="-4"/>
          <w:sz w:val="32"/>
          <w:szCs w:val="32"/>
          <w:lang w:eastAsia="zh-CN"/>
        </w:rPr>
        <w:t>项目，主要用于</w:t>
      </w:r>
      <w:r>
        <w:rPr>
          <w:rStyle w:val="18"/>
          <w:rFonts w:hint="eastAsia" w:ascii="仿宋" w:hAnsi="仿宋" w:eastAsia="仿宋"/>
          <w:b w:val="0"/>
          <w:spacing w:val="-4"/>
          <w:sz w:val="32"/>
          <w:szCs w:val="32"/>
        </w:rPr>
        <w:t>依法对职务犯罪进行侦查，对刑事案件审查批准逮捕、决定逮捕、提起公诉，依法对刑事诉讼、民事审判和行政诉讼实行监督，依法对执行机关执行刑罚的活动是否合法实行监督，服务全县中心工作，维护全县经济运行的良好环境。</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我院业务办案经费的项目起止时间为2018年1月1日—2018年12月31日；项目具体实施单位为玛纳斯县人民检察院；项目内容为业务办案经费及装备经费。</w:t>
      </w:r>
    </w:p>
    <w:p>
      <w:pPr>
        <w:keepNext w:val="0"/>
        <w:keepLines w:val="0"/>
        <w:pageBreakBefore w:val="0"/>
        <w:widowControl w:val="0"/>
        <w:kinsoku/>
        <w:wordWrap/>
        <w:overflowPunct/>
        <w:topLinePunct w:val="0"/>
        <w:autoSpaceDE/>
        <w:autoSpaceDN/>
        <w:bidi w:val="0"/>
        <w:adjustRightInd w:val="0"/>
        <w:snapToGrid w:val="0"/>
        <w:spacing w:line="540" w:lineRule="exact"/>
        <w:ind w:firstLine="627" w:firstLineChars="200"/>
        <w:textAlignment w:val="auto"/>
        <w:outlineLvl w:val="9"/>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我院项目资金来源为中央及自治区转移支付专项经费和县级配套资金，经费支出范围为院内开展办案业务及相关工作，为持续性、常年性项目。</w:t>
      </w:r>
    </w:p>
    <w:p>
      <w:pPr>
        <w:keepNext w:val="0"/>
        <w:keepLines w:val="0"/>
        <w:pageBreakBefore w:val="0"/>
        <w:widowControl w:val="0"/>
        <w:kinsoku/>
        <w:wordWrap/>
        <w:overflowPunct/>
        <w:topLinePunct w:val="0"/>
        <w:autoSpaceDE/>
        <w:autoSpaceDN/>
        <w:bidi w:val="0"/>
        <w:adjustRightInd w:val="0"/>
        <w:snapToGrid w:val="0"/>
        <w:spacing w:line="540" w:lineRule="exact"/>
        <w:ind w:firstLine="627" w:firstLineChars="200"/>
        <w:textAlignment w:val="auto"/>
        <w:outlineLvl w:val="9"/>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玛纳斯县人民检察院办案业务经费项目用途主要用于办公费、差旅费、维修维护费、邮寄费、劳务费、被装购置费、其他交通费、培训费、印刷费、咨询费、其他车辆运行维护费等支出；装备经费项目用途主要用于办公设备购置费、专用设备购置费、大型修缮费、信息网络及软件购置更新费等。</w:t>
      </w:r>
    </w:p>
    <w:p>
      <w:pPr>
        <w:keepNext w:val="0"/>
        <w:keepLines w:val="0"/>
        <w:pageBreakBefore w:val="0"/>
        <w:widowControl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default" w:ascii="仿宋" w:hAnsi="仿宋" w:eastAsia="仿宋"/>
          <w:b w:val="0"/>
          <w:spacing w:val="-4"/>
          <w:sz w:val="32"/>
          <w:szCs w:val="32"/>
          <w:highlight w:val="none"/>
          <w:lang w:val="en-US" w:eastAsia="zh-CN"/>
        </w:rPr>
      </w:pPr>
      <w:r>
        <w:rPr>
          <w:rStyle w:val="18"/>
          <w:rFonts w:hint="eastAsia" w:ascii="仿宋" w:hAnsi="仿宋" w:eastAsia="仿宋"/>
          <w:b w:val="0"/>
          <w:spacing w:val="-4"/>
          <w:sz w:val="32"/>
          <w:szCs w:val="32"/>
          <w:highlight w:val="none"/>
        </w:rPr>
        <w:t>玛纳斯县人民检察院项目</w:t>
      </w:r>
      <w:r>
        <w:rPr>
          <w:rStyle w:val="18"/>
          <w:rFonts w:hint="eastAsia" w:ascii="仿宋" w:hAnsi="仿宋" w:eastAsia="仿宋"/>
          <w:b w:val="0"/>
          <w:spacing w:val="-4"/>
          <w:sz w:val="32"/>
          <w:szCs w:val="32"/>
          <w:highlight w:val="none"/>
          <w:lang w:val="en-US" w:eastAsia="zh-CN"/>
        </w:rPr>
        <w:t>2018年</w:t>
      </w:r>
      <w:r>
        <w:rPr>
          <w:rStyle w:val="18"/>
          <w:rFonts w:hint="eastAsia" w:ascii="仿宋" w:hAnsi="仿宋" w:eastAsia="仿宋"/>
          <w:b w:val="0"/>
          <w:spacing w:val="-4"/>
          <w:sz w:val="32"/>
          <w:szCs w:val="32"/>
          <w:highlight w:val="none"/>
        </w:rPr>
        <w:t>安排总金额为</w:t>
      </w:r>
      <w:r>
        <w:rPr>
          <w:rStyle w:val="18"/>
          <w:rFonts w:hint="eastAsia" w:ascii="仿宋" w:hAnsi="仿宋" w:eastAsia="仿宋"/>
          <w:b w:val="0"/>
          <w:spacing w:val="-4"/>
          <w:sz w:val="32"/>
          <w:szCs w:val="32"/>
          <w:highlight w:val="none"/>
          <w:lang w:val="en-US" w:eastAsia="zh-CN"/>
        </w:rPr>
        <w:t>242.5</w:t>
      </w:r>
      <w:r>
        <w:rPr>
          <w:rStyle w:val="18"/>
          <w:rFonts w:hint="eastAsia" w:ascii="仿宋" w:hAnsi="仿宋" w:eastAsia="仿宋"/>
          <w:b w:val="0"/>
          <w:spacing w:val="-4"/>
          <w:sz w:val="32"/>
          <w:szCs w:val="32"/>
          <w:highlight w:val="none"/>
        </w:rPr>
        <w:t>元。</w:t>
      </w:r>
      <w:r>
        <w:rPr>
          <w:rStyle w:val="18"/>
          <w:rFonts w:hint="eastAsia" w:ascii="仿宋" w:hAnsi="仿宋" w:eastAsia="仿宋"/>
          <w:b w:val="0"/>
          <w:spacing w:val="-4"/>
          <w:sz w:val="32"/>
          <w:szCs w:val="32"/>
          <w:highlight w:val="none"/>
          <w:lang w:val="en-US" w:eastAsia="zh-CN"/>
        </w:rPr>
        <w:t>其中中央资金159万元，县级配套资金83.52万元。</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highlight w:val="none"/>
        </w:rPr>
        <w:t>办案业务经费项目安排</w:t>
      </w:r>
      <w:r>
        <w:rPr>
          <w:rStyle w:val="18"/>
          <w:rFonts w:hint="eastAsia" w:ascii="仿宋" w:hAnsi="仿宋" w:eastAsia="仿宋"/>
          <w:b w:val="0"/>
          <w:spacing w:val="-4"/>
          <w:sz w:val="32"/>
          <w:szCs w:val="32"/>
          <w:highlight w:val="none"/>
          <w:lang w:val="en-US" w:eastAsia="zh-CN"/>
        </w:rPr>
        <w:t>196.52</w:t>
      </w:r>
      <w:r>
        <w:rPr>
          <w:rStyle w:val="18"/>
          <w:rFonts w:hint="eastAsia" w:ascii="仿宋" w:hAnsi="仿宋" w:eastAsia="仿宋"/>
          <w:b w:val="0"/>
          <w:spacing w:val="-4"/>
          <w:sz w:val="32"/>
          <w:szCs w:val="32"/>
          <w:highlight w:val="none"/>
        </w:rPr>
        <w:t>万元其中：</w:t>
      </w:r>
      <w:r>
        <w:rPr>
          <w:rStyle w:val="18"/>
          <w:rFonts w:hint="eastAsia" w:ascii="仿宋" w:hAnsi="仿宋" w:eastAsia="仿宋"/>
          <w:b w:val="0"/>
          <w:spacing w:val="-4"/>
          <w:sz w:val="32"/>
          <w:szCs w:val="32"/>
          <w:highlight w:val="none"/>
          <w:lang w:val="en-US" w:eastAsia="zh-CN"/>
        </w:rPr>
        <w:t>中央资金113万元，县级基金83.52万元</w:t>
      </w:r>
      <w:r>
        <w:rPr>
          <w:rStyle w:val="18"/>
          <w:rFonts w:hint="eastAsia" w:ascii="仿宋" w:hAnsi="仿宋" w:eastAsia="仿宋"/>
          <w:b w:val="0"/>
          <w:spacing w:val="-4"/>
          <w:sz w:val="32"/>
          <w:szCs w:val="32"/>
          <w:highlight w:val="none"/>
        </w:rPr>
        <w:t>，2018年实际收到办案经费</w:t>
      </w:r>
      <w:r>
        <w:rPr>
          <w:rStyle w:val="18"/>
          <w:rFonts w:hint="eastAsia" w:ascii="仿宋" w:hAnsi="仿宋" w:eastAsia="仿宋"/>
          <w:b w:val="0"/>
          <w:spacing w:val="-4"/>
          <w:sz w:val="32"/>
          <w:szCs w:val="32"/>
          <w:highlight w:val="none"/>
          <w:lang w:val="en-US" w:eastAsia="zh-CN"/>
        </w:rPr>
        <w:t>196.52</w:t>
      </w:r>
      <w:r>
        <w:rPr>
          <w:rStyle w:val="18"/>
          <w:rFonts w:hint="eastAsia" w:ascii="仿宋" w:hAnsi="仿宋" w:eastAsia="仿宋"/>
          <w:b w:val="0"/>
          <w:spacing w:val="-4"/>
          <w:sz w:val="32"/>
          <w:szCs w:val="32"/>
          <w:highlight w:val="none"/>
        </w:rPr>
        <w:t>万元</w:t>
      </w:r>
      <w:r>
        <w:rPr>
          <w:rStyle w:val="18"/>
          <w:rFonts w:hint="eastAsia" w:ascii="仿宋" w:hAnsi="仿宋" w:eastAsia="仿宋"/>
          <w:b w:val="0"/>
          <w:spacing w:val="-4"/>
          <w:sz w:val="32"/>
          <w:szCs w:val="32"/>
          <w:highlight w:val="none"/>
          <w:lang w:eastAsia="zh-CN"/>
        </w:rPr>
        <w:t>，</w:t>
      </w:r>
      <w:r>
        <w:rPr>
          <w:rStyle w:val="18"/>
          <w:rFonts w:hint="eastAsia" w:ascii="仿宋" w:hAnsi="仿宋" w:eastAsia="仿宋"/>
          <w:b w:val="0"/>
          <w:spacing w:val="-4"/>
          <w:sz w:val="32"/>
          <w:szCs w:val="32"/>
          <w:highlight w:val="none"/>
          <w:lang w:val="en-US" w:eastAsia="zh-CN"/>
        </w:rPr>
        <w:t>资金到位率100%</w:t>
      </w:r>
      <w:r>
        <w:rPr>
          <w:rStyle w:val="18"/>
          <w:rFonts w:hint="eastAsia" w:ascii="仿宋" w:hAnsi="仿宋" w:eastAsia="仿宋"/>
          <w:b w:val="0"/>
          <w:spacing w:val="-4"/>
          <w:sz w:val="32"/>
          <w:szCs w:val="32"/>
          <w:highlight w:val="none"/>
        </w:rPr>
        <w:t>；装备经费项目安排46万元，其中：财政资金:46万元，201</w:t>
      </w:r>
      <w:r>
        <w:rPr>
          <w:rStyle w:val="18"/>
          <w:rFonts w:hint="eastAsia" w:ascii="仿宋" w:hAnsi="仿宋" w:eastAsia="仿宋"/>
          <w:b w:val="0"/>
          <w:spacing w:val="-4"/>
          <w:sz w:val="32"/>
          <w:szCs w:val="32"/>
          <w:highlight w:val="none"/>
          <w:lang w:val="en-US" w:eastAsia="zh-CN"/>
        </w:rPr>
        <w:t>8</w:t>
      </w:r>
      <w:r>
        <w:rPr>
          <w:rStyle w:val="18"/>
          <w:rFonts w:hint="eastAsia" w:ascii="仿宋" w:hAnsi="仿宋" w:eastAsia="仿宋"/>
          <w:b w:val="0"/>
          <w:spacing w:val="-4"/>
          <w:sz w:val="32"/>
          <w:szCs w:val="32"/>
          <w:highlight w:val="none"/>
        </w:rPr>
        <w:t>年实际收到装备经费46万元，</w:t>
      </w:r>
      <w:r>
        <w:rPr>
          <w:rStyle w:val="18"/>
          <w:rFonts w:hint="eastAsia" w:ascii="仿宋" w:hAnsi="仿宋" w:eastAsia="仿宋"/>
          <w:b w:val="0"/>
          <w:spacing w:val="-4"/>
          <w:sz w:val="32"/>
          <w:szCs w:val="32"/>
          <w:highlight w:val="none"/>
          <w:lang w:val="en-US" w:eastAsia="zh-CN"/>
        </w:rPr>
        <w:t>资金到</w:t>
      </w:r>
      <w:r>
        <w:rPr>
          <w:rStyle w:val="18"/>
          <w:rFonts w:hint="eastAsia" w:ascii="仿宋" w:hAnsi="仿宋" w:eastAsia="仿宋"/>
          <w:b w:val="0"/>
          <w:spacing w:val="-4"/>
          <w:sz w:val="32"/>
          <w:szCs w:val="32"/>
          <w:lang w:val="en-US" w:eastAsia="zh-CN"/>
        </w:rPr>
        <w:t>位率100%。</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本项目实际支付资金</w:t>
      </w:r>
      <w:r>
        <w:rPr>
          <w:rStyle w:val="18"/>
          <w:rFonts w:hint="eastAsia" w:ascii="仿宋" w:hAnsi="仿宋" w:eastAsia="仿宋"/>
          <w:b w:val="0"/>
          <w:spacing w:val="-4"/>
          <w:sz w:val="32"/>
          <w:szCs w:val="32"/>
          <w:lang w:val="en-US" w:eastAsia="zh-CN"/>
        </w:rPr>
        <w:t>242.5</w:t>
      </w:r>
      <w:r>
        <w:rPr>
          <w:rStyle w:val="18"/>
          <w:rFonts w:hint="eastAsia" w:ascii="仿宋" w:hAnsi="仿宋" w:eastAsia="仿宋"/>
          <w:b w:val="0"/>
          <w:spacing w:val="-4"/>
          <w:sz w:val="32"/>
          <w:szCs w:val="32"/>
        </w:rPr>
        <w:t>万元，预算执行率138%，项目资金主要用于支付办公费</w:t>
      </w:r>
      <w:r>
        <w:rPr>
          <w:rStyle w:val="18"/>
          <w:rFonts w:hint="eastAsia" w:ascii="仿宋" w:hAnsi="仿宋" w:eastAsia="仿宋"/>
          <w:b w:val="0"/>
          <w:spacing w:val="-4"/>
          <w:sz w:val="32"/>
          <w:szCs w:val="32"/>
          <w:lang w:val="en-US" w:eastAsia="zh-CN"/>
        </w:rPr>
        <w:t>43.34</w:t>
      </w:r>
      <w:r>
        <w:rPr>
          <w:rStyle w:val="18"/>
          <w:rFonts w:hint="eastAsia" w:ascii="仿宋" w:hAnsi="仿宋" w:eastAsia="仿宋"/>
          <w:b w:val="0"/>
          <w:spacing w:val="-4"/>
          <w:sz w:val="32"/>
          <w:szCs w:val="32"/>
        </w:rPr>
        <w:t>万元；手续费0.05万元；印刷费0.48万元；水费2.72万元；电费5.40万元；邮电费6.43万元；取暖费13.90万元；差旅费7.63万元；维修费4.97万元；培训费3.79万元；公车运行费25.08万元；其他交通费费用11万元；专用材料5.36万元；服装款5.83万元。支付办公设备购置13.38万元、支付专用设备购置57.3万元、支付房屋建筑物构建35.84万元，年末财政拨款无结余</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资金使用完成率100%。</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本项目支出符合玛纳斯县人民检察院相关财务管理制度，包括会计人员集中核算工作管理制度、财务收支审批制度、财务稽核制度、财务牵制制度、会计主管岗位职责等制度规定，资金的拨付有完整的审批程序和手续，不存在截留、挤占、挪用等情况。</w:t>
      </w:r>
    </w:p>
    <w:p>
      <w:pPr>
        <w:keepNext w:val="0"/>
        <w:keepLines w:val="0"/>
        <w:pageBreakBefore w:val="0"/>
        <w:widowControl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该项目属于经常性零星项目,没有达到招投标限额,由本单位自行组织实施。实施过程均按照最高人民检察院制定的办案业务经费项目管理制度执行。</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2018年，玛纳斯县人民检察院紧紧围绕坚持维护社会平安稳定，积极查办、预防职务犯罪，不断强化诉讼活动监督，主动服务生态文明建设，积极推进机制改革创新，不断加强检察队伍建设等各项工作取得了新的进展。检察院2018年办案经费县级配套83.5万元，资金全部到位。</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设立项目资金核算专帐管理，专人负责，保证专款专用集中核算项目资金来源、使用和结余，实行专帐核算。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spacing w:line="540" w:lineRule="exact"/>
        <w:ind w:firstLine="640"/>
        <w:textAlignment w:val="auto"/>
        <w:outlineLvl w:val="9"/>
        <w:rPr>
          <w:rStyle w:val="18"/>
          <w:rFonts w:ascii="黑体" w:hAnsi="黑体" w:eastAsia="黑体"/>
        </w:rPr>
      </w:pPr>
      <w:r>
        <w:rPr>
          <w:rStyle w:val="18"/>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24" w:firstLineChars="200"/>
        <w:textAlignment w:val="auto"/>
        <w:outlineLvl w:val="9"/>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本项目共设置一级指标3个、二级指标</w:t>
      </w:r>
      <w:r>
        <w:rPr>
          <w:rStyle w:val="18"/>
          <w:rFonts w:hint="eastAsia" w:ascii="仿宋" w:hAnsi="仿宋" w:eastAsia="仿宋"/>
          <w:b w:val="0"/>
          <w:spacing w:val="-4"/>
          <w:sz w:val="32"/>
          <w:szCs w:val="32"/>
          <w:lang w:val="en-US" w:eastAsia="zh-CN"/>
        </w:rPr>
        <w:t>9个、三级指标18个指标。</w:t>
      </w:r>
      <w:r>
        <w:rPr>
          <w:rStyle w:val="18"/>
          <w:rFonts w:hint="eastAsia" w:ascii="仿宋" w:hAnsi="仿宋" w:eastAsia="仿宋"/>
          <w:b w:val="0"/>
          <w:spacing w:val="-4"/>
          <w:sz w:val="32"/>
          <w:szCs w:val="32"/>
          <w:lang w:eastAsia="zh-CN"/>
        </w:rPr>
        <w:t>其中已完成三级指标</w:t>
      </w:r>
      <w:r>
        <w:rPr>
          <w:rStyle w:val="18"/>
          <w:rFonts w:hint="eastAsia" w:ascii="仿宋" w:hAnsi="仿宋" w:eastAsia="仿宋"/>
          <w:b w:val="0"/>
          <w:spacing w:val="-4"/>
          <w:sz w:val="32"/>
          <w:szCs w:val="32"/>
          <w:lang w:val="en-US" w:eastAsia="zh-CN"/>
        </w:rPr>
        <w:t>18</w:t>
      </w:r>
      <w:r>
        <w:rPr>
          <w:rStyle w:val="18"/>
          <w:rFonts w:hint="eastAsia" w:ascii="仿宋" w:hAnsi="仿宋" w:eastAsia="仿宋"/>
          <w:b w:val="0"/>
          <w:spacing w:val="-4"/>
          <w:sz w:val="32"/>
          <w:szCs w:val="32"/>
          <w:lang w:eastAsia="zh-CN"/>
        </w:rPr>
        <w:t>个，指标完成率为</w:t>
      </w:r>
      <w:r>
        <w:rPr>
          <w:rStyle w:val="18"/>
          <w:rFonts w:hint="eastAsia" w:ascii="仿宋" w:hAnsi="仿宋" w:eastAsia="仿宋"/>
          <w:b w:val="0"/>
          <w:spacing w:val="-4"/>
          <w:sz w:val="32"/>
          <w:szCs w:val="32"/>
          <w:lang w:val="en-US" w:eastAsia="zh-CN"/>
        </w:rPr>
        <w:t>100</w:t>
      </w:r>
      <w:r>
        <w:rPr>
          <w:rStyle w:val="18"/>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Fonts w:hint="eastAsia" w:ascii="楷体" w:hAnsi="楷体" w:eastAsia="楷体"/>
          <w:b/>
          <w:spacing w:val="-4"/>
          <w:sz w:val="32"/>
          <w:szCs w:val="32"/>
        </w:rPr>
      </w:pPr>
      <w:r>
        <w:rPr>
          <w:rFonts w:hint="eastAsia" w:ascii="楷体" w:hAnsi="楷体" w:eastAsia="楷体"/>
          <w:b/>
          <w:spacing w:val="-4"/>
          <w:sz w:val="32"/>
          <w:szCs w:val="32"/>
        </w:rPr>
        <w:t>1、产出指标完成情况分析。</w:t>
      </w:r>
    </w:p>
    <w:p>
      <w:pPr>
        <w:keepNext w:val="0"/>
        <w:keepLines w:val="0"/>
        <w:pageBreakBefore w:val="0"/>
        <w:widowControl w:val="0"/>
        <w:kinsoku/>
        <w:wordWrap/>
        <w:overflowPunct/>
        <w:topLinePunct w:val="0"/>
        <w:autoSpaceDE/>
        <w:autoSpaceDN/>
        <w:bidi w:val="0"/>
        <w:adjustRightInd/>
        <w:snapToGrid/>
        <w:ind w:firstLine="624" w:firstLineChars="200"/>
        <w:textAlignment w:val="auto"/>
        <w:rPr>
          <w:rStyle w:val="18"/>
          <w:rFonts w:hint="default"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（1）项目完成数量。批准逮捕案件数量</w:t>
      </w:r>
      <w:r>
        <w:rPr>
          <w:rStyle w:val="18"/>
          <w:rFonts w:hint="eastAsia" w:ascii="仿宋" w:hAnsi="仿宋" w:eastAsia="仿宋"/>
          <w:b w:val="0"/>
          <w:spacing w:val="-4"/>
          <w:sz w:val="32"/>
          <w:szCs w:val="32"/>
          <w:lang w:val="en-US" w:eastAsia="zh-CN"/>
        </w:rPr>
        <w:t>52件、</w:t>
      </w:r>
      <w:r>
        <w:rPr>
          <w:rStyle w:val="18"/>
          <w:rFonts w:hint="eastAsia" w:ascii="仿宋" w:hAnsi="仿宋" w:eastAsia="仿宋"/>
          <w:b w:val="0"/>
          <w:spacing w:val="-4"/>
          <w:sz w:val="32"/>
          <w:szCs w:val="32"/>
          <w:lang w:eastAsia="zh-CN"/>
        </w:rPr>
        <w:t>提起公诉案件数量126件、受理公益诉讼案件数量30</w:t>
      </w:r>
      <w:r>
        <w:rPr>
          <w:rStyle w:val="18"/>
          <w:rFonts w:hint="eastAsia" w:ascii="仿宋" w:hAnsi="仿宋" w:eastAsia="仿宋"/>
          <w:b w:val="0"/>
          <w:spacing w:val="-4"/>
          <w:sz w:val="32"/>
          <w:szCs w:val="32"/>
          <w:lang w:val="en-US" w:eastAsia="zh-CN"/>
        </w:rPr>
        <w:t>2</w:t>
      </w:r>
      <w:r>
        <w:rPr>
          <w:rStyle w:val="18"/>
          <w:rFonts w:hint="eastAsia" w:ascii="仿宋" w:hAnsi="仿宋" w:eastAsia="仿宋"/>
          <w:b w:val="0"/>
          <w:spacing w:val="-4"/>
          <w:sz w:val="32"/>
          <w:szCs w:val="32"/>
          <w:lang w:eastAsia="zh-CN"/>
        </w:rPr>
        <w:t>件、减刑、假释、暂予监外执行案件数量</w:t>
      </w:r>
      <w:r>
        <w:rPr>
          <w:rStyle w:val="18"/>
          <w:rFonts w:hint="eastAsia" w:ascii="仿宋" w:hAnsi="仿宋" w:eastAsia="仿宋"/>
          <w:b w:val="0"/>
          <w:spacing w:val="-4"/>
          <w:sz w:val="32"/>
          <w:szCs w:val="32"/>
          <w:lang w:val="en-US" w:eastAsia="zh-CN"/>
        </w:rPr>
        <w:t>0件、</w:t>
      </w:r>
      <w:r>
        <w:rPr>
          <w:rStyle w:val="18"/>
          <w:rFonts w:hint="eastAsia" w:ascii="仿宋" w:hAnsi="仿宋" w:eastAsia="仿宋"/>
          <w:b w:val="0"/>
          <w:spacing w:val="-4"/>
          <w:sz w:val="32"/>
          <w:szCs w:val="32"/>
          <w:lang w:eastAsia="zh-CN"/>
        </w:rPr>
        <w:t>信访数量</w:t>
      </w:r>
      <w:r>
        <w:rPr>
          <w:rStyle w:val="18"/>
          <w:rFonts w:hint="eastAsia" w:ascii="仿宋" w:hAnsi="仿宋" w:eastAsia="仿宋"/>
          <w:b w:val="0"/>
          <w:spacing w:val="-4"/>
          <w:sz w:val="32"/>
          <w:szCs w:val="32"/>
          <w:lang w:val="en-US" w:eastAsia="zh-CN"/>
        </w:rPr>
        <w:t>36件。</w:t>
      </w:r>
    </w:p>
    <w:p>
      <w:pPr>
        <w:keepNext w:val="0"/>
        <w:keepLines w:val="0"/>
        <w:pageBreakBefore w:val="0"/>
        <w:widowControl w:val="0"/>
        <w:kinsoku/>
        <w:wordWrap/>
        <w:overflowPunct/>
        <w:topLinePunct w:val="0"/>
        <w:autoSpaceDE/>
        <w:autoSpaceDN/>
        <w:bidi w:val="0"/>
        <w:adjustRightInd/>
        <w:snapToGrid/>
        <w:ind w:firstLine="624" w:firstLineChars="200"/>
        <w:textAlignment w:val="auto"/>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（2）项目完成质量。刑事案件的批捕率</w:t>
      </w:r>
      <w:r>
        <w:rPr>
          <w:rStyle w:val="18"/>
          <w:rFonts w:hint="eastAsia" w:ascii="仿宋" w:hAnsi="仿宋" w:eastAsia="仿宋"/>
          <w:b w:val="0"/>
          <w:spacing w:val="-4"/>
          <w:sz w:val="32"/>
          <w:szCs w:val="32"/>
          <w:lang w:val="en-US" w:eastAsia="zh-CN"/>
        </w:rPr>
        <w:t>94%，</w:t>
      </w:r>
      <w:r>
        <w:rPr>
          <w:rStyle w:val="18"/>
          <w:rFonts w:hint="eastAsia" w:ascii="仿宋" w:hAnsi="仿宋" w:eastAsia="仿宋"/>
          <w:b w:val="0"/>
          <w:spacing w:val="-4"/>
          <w:sz w:val="32"/>
          <w:szCs w:val="32"/>
          <w:lang w:eastAsia="zh-CN"/>
        </w:rPr>
        <w:t>公诉案件的结案率</w:t>
      </w:r>
      <w:r>
        <w:rPr>
          <w:rStyle w:val="18"/>
          <w:rFonts w:hint="eastAsia" w:ascii="仿宋" w:hAnsi="仿宋" w:eastAsia="仿宋"/>
          <w:b w:val="0"/>
          <w:spacing w:val="-4"/>
          <w:sz w:val="32"/>
          <w:szCs w:val="32"/>
          <w:lang w:val="en-US" w:eastAsia="zh-CN"/>
        </w:rPr>
        <w:t>84%</w:t>
      </w:r>
      <w:r>
        <w:rPr>
          <w:rStyle w:val="18"/>
          <w:rFonts w:hint="eastAsia" w:ascii="仿宋" w:hAnsi="仿宋" w:eastAsia="仿宋"/>
          <w:b w:val="0"/>
          <w:spacing w:val="-4"/>
          <w:sz w:val="32"/>
          <w:szCs w:val="32"/>
          <w:lang w:eastAsia="zh-CN"/>
        </w:rPr>
        <w:t>，提出公益诉讼的检察建议和公告的数量</w:t>
      </w:r>
      <w:r>
        <w:rPr>
          <w:rStyle w:val="18"/>
          <w:rFonts w:hint="eastAsia" w:ascii="仿宋" w:hAnsi="仿宋" w:eastAsia="仿宋"/>
          <w:b w:val="0"/>
          <w:spacing w:val="-4"/>
          <w:sz w:val="32"/>
          <w:szCs w:val="32"/>
          <w:lang w:val="en-US" w:eastAsia="zh-CN"/>
        </w:rPr>
        <w:t>占比</w:t>
      </w:r>
      <w:r>
        <w:rPr>
          <w:rStyle w:val="18"/>
          <w:rFonts w:hint="eastAsia" w:ascii="仿宋" w:hAnsi="仿宋" w:eastAsia="仿宋"/>
          <w:b w:val="0"/>
          <w:spacing w:val="-4"/>
          <w:sz w:val="32"/>
          <w:szCs w:val="32"/>
          <w:lang w:eastAsia="zh-CN"/>
        </w:rPr>
        <w:t>80%</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lang w:eastAsia="zh-CN"/>
        </w:rPr>
        <w:t>办理减刑、假释、暂予监外执行案件结案率</w:t>
      </w:r>
      <w:r>
        <w:rPr>
          <w:rStyle w:val="18"/>
          <w:rFonts w:hint="eastAsia" w:ascii="仿宋" w:hAnsi="仿宋" w:eastAsia="仿宋"/>
          <w:b w:val="0"/>
          <w:spacing w:val="-4"/>
          <w:sz w:val="32"/>
          <w:szCs w:val="32"/>
          <w:lang w:val="en-US" w:eastAsia="zh-CN"/>
        </w:rPr>
        <w:t>0%；</w:t>
      </w:r>
      <w:r>
        <w:rPr>
          <w:rStyle w:val="18"/>
          <w:rFonts w:hint="eastAsia" w:ascii="仿宋" w:hAnsi="仿宋" w:eastAsia="仿宋"/>
          <w:b w:val="0"/>
          <w:spacing w:val="-4"/>
          <w:sz w:val="32"/>
          <w:szCs w:val="32"/>
          <w:lang w:eastAsia="zh-CN"/>
        </w:rPr>
        <w:t>受理信访案件的结案率</w:t>
      </w:r>
      <w:r>
        <w:rPr>
          <w:rStyle w:val="18"/>
          <w:rFonts w:hint="eastAsia" w:ascii="仿宋" w:hAnsi="仿宋" w:eastAsia="仿宋"/>
          <w:b w:val="0"/>
          <w:spacing w:val="-4"/>
          <w:sz w:val="32"/>
          <w:szCs w:val="32"/>
          <w:lang w:val="en-US" w:eastAsia="zh-CN"/>
        </w:rPr>
        <w:t>100%</w:t>
      </w:r>
      <w:r>
        <w:rPr>
          <w:rStyle w:val="18"/>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24" w:firstLineChars="200"/>
        <w:textAlignment w:val="auto"/>
        <w:rPr>
          <w:rStyle w:val="18"/>
          <w:rFonts w:hint="eastAsia" w:ascii="仿宋" w:hAnsi="仿宋" w:eastAsia="仿宋" w:cs="仿宋"/>
          <w:b w:val="0"/>
          <w:spacing w:val="-4"/>
          <w:sz w:val="32"/>
          <w:szCs w:val="32"/>
          <w:lang w:val="en-US" w:eastAsia="zh-CN"/>
        </w:rPr>
      </w:pPr>
      <w:r>
        <w:rPr>
          <w:rStyle w:val="18"/>
          <w:rFonts w:hint="eastAsia" w:ascii="仿宋" w:hAnsi="仿宋" w:eastAsia="仿宋" w:cs="仿宋"/>
          <w:b w:val="0"/>
          <w:spacing w:val="-4"/>
          <w:sz w:val="32"/>
          <w:szCs w:val="32"/>
          <w:lang w:eastAsia="zh-CN"/>
        </w:rPr>
        <w:t>（</w:t>
      </w:r>
      <w:r>
        <w:rPr>
          <w:rStyle w:val="18"/>
          <w:rFonts w:hint="eastAsia" w:ascii="仿宋" w:hAnsi="仿宋" w:eastAsia="仿宋" w:cs="仿宋"/>
          <w:b w:val="0"/>
          <w:spacing w:val="-4"/>
          <w:sz w:val="32"/>
          <w:szCs w:val="32"/>
          <w:lang w:val="en-US" w:eastAsia="zh-CN"/>
        </w:rPr>
        <w:t>3</w:t>
      </w:r>
      <w:r>
        <w:rPr>
          <w:rStyle w:val="18"/>
          <w:rFonts w:hint="eastAsia" w:ascii="仿宋" w:hAnsi="仿宋" w:eastAsia="仿宋" w:cs="仿宋"/>
          <w:b w:val="0"/>
          <w:spacing w:val="-4"/>
          <w:sz w:val="32"/>
          <w:szCs w:val="32"/>
          <w:lang w:eastAsia="zh-CN"/>
        </w:rPr>
        <w:t>）项目完成时效。</w:t>
      </w:r>
      <w:r>
        <w:rPr>
          <w:rStyle w:val="18"/>
          <w:rFonts w:hint="eastAsia" w:ascii="仿宋" w:hAnsi="仿宋" w:eastAsia="仿宋" w:cs="仿宋"/>
          <w:b w:val="0"/>
          <w:spacing w:val="-4"/>
          <w:sz w:val="32"/>
          <w:szCs w:val="32"/>
          <w:lang w:val="en-US" w:eastAsia="zh-CN"/>
        </w:rPr>
        <w:t>预算执行率100%。</w:t>
      </w:r>
    </w:p>
    <w:p>
      <w:pPr>
        <w:keepNext w:val="0"/>
        <w:keepLines w:val="0"/>
        <w:pageBreakBefore w:val="0"/>
        <w:widowControl w:val="0"/>
        <w:kinsoku/>
        <w:wordWrap/>
        <w:overflowPunct/>
        <w:topLinePunct w:val="0"/>
        <w:autoSpaceDE/>
        <w:autoSpaceDN/>
        <w:bidi w:val="0"/>
        <w:adjustRightInd/>
        <w:snapToGrid/>
        <w:ind w:firstLine="624" w:firstLineChars="200"/>
        <w:textAlignment w:val="auto"/>
        <w:rPr>
          <w:rStyle w:val="18"/>
          <w:rFonts w:hint="eastAsia" w:ascii="仿宋" w:hAnsi="仿宋" w:eastAsia="仿宋" w:cs="仿宋"/>
          <w:b w:val="0"/>
          <w:spacing w:val="-4"/>
          <w:sz w:val="32"/>
          <w:szCs w:val="32"/>
          <w:lang w:eastAsia="zh-CN"/>
        </w:rPr>
      </w:pPr>
      <w:r>
        <w:rPr>
          <w:rStyle w:val="18"/>
          <w:rFonts w:hint="eastAsia" w:ascii="仿宋" w:hAnsi="仿宋" w:eastAsia="仿宋" w:cs="仿宋"/>
          <w:b w:val="0"/>
          <w:spacing w:val="-4"/>
          <w:sz w:val="32"/>
          <w:szCs w:val="32"/>
          <w:lang w:eastAsia="zh-CN"/>
        </w:rPr>
        <w:t>（</w:t>
      </w:r>
      <w:r>
        <w:rPr>
          <w:rStyle w:val="18"/>
          <w:rFonts w:hint="eastAsia" w:ascii="仿宋" w:hAnsi="仿宋" w:eastAsia="仿宋" w:cs="仿宋"/>
          <w:b w:val="0"/>
          <w:spacing w:val="-4"/>
          <w:sz w:val="32"/>
          <w:szCs w:val="32"/>
          <w:lang w:val="en-US" w:eastAsia="zh-CN"/>
        </w:rPr>
        <w:t>4</w:t>
      </w:r>
      <w:r>
        <w:rPr>
          <w:rStyle w:val="18"/>
          <w:rFonts w:hint="eastAsia" w:ascii="仿宋" w:hAnsi="仿宋" w:eastAsia="仿宋" w:cs="仿宋"/>
          <w:b w:val="0"/>
          <w:spacing w:val="-4"/>
          <w:sz w:val="32"/>
          <w:szCs w:val="32"/>
          <w:lang w:eastAsia="zh-CN"/>
        </w:rPr>
        <w:t>）项目完成成本。</w:t>
      </w:r>
      <w:r>
        <w:rPr>
          <w:rStyle w:val="18"/>
          <w:rFonts w:hint="eastAsia" w:ascii="仿宋" w:hAnsi="仿宋" w:eastAsia="仿宋" w:cs="仿宋"/>
          <w:b w:val="0"/>
          <w:spacing w:val="-4"/>
          <w:sz w:val="32"/>
          <w:szCs w:val="32"/>
          <w:lang w:val="en-US" w:eastAsia="zh-CN"/>
        </w:rPr>
        <w:t>本年项目资金</w:t>
      </w:r>
      <w:r>
        <w:rPr>
          <w:rStyle w:val="18"/>
          <w:rFonts w:hint="eastAsia" w:ascii="仿宋" w:hAnsi="仿宋" w:eastAsia="仿宋" w:cs="仿宋"/>
          <w:b w:val="0"/>
          <w:spacing w:val="-4"/>
          <w:sz w:val="32"/>
          <w:szCs w:val="32"/>
          <w:lang w:eastAsia="zh-CN"/>
        </w:rPr>
        <w:t>242.5万元。</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仿宋" w:hAnsi="仿宋" w:eastAsia="仿宋" w:cs="仿宋"/>
          <w:b/>
          <w:bCs/>
          <w:sz w:val="32"/>
          <w:szCs w:val="32"/>
        </w:rPr>
      </w:pPr>
      <w:r>
        <w:rPr>
          <w:rStyle w:val="18"/>
          <w:rFonts w:hint="eastAsia" w:ascii="仿宋" w:hAnsi="仿宋" w:eastAsia="仿宋" w:cs="仿宋"/>
          <w:b/>
          <w:bCs/>
          <w:sz w:val="32"/>
          <w:szCs w:val="32"/>
        </w:rPr>
        <w:t>2</w:t>
      </w:r>
      <w:r>
        <w:rPr>
          <w:rStyle w:val="18"/>
          <w:rFonts w:hint="eastAsia" w:ascii="仿宋" w:hAnsi="仿宋" w:eastAsia="仿宋" w:cs="仿宋"/>
          <w:b/>
          <w:bCs/>
          <w:sz w:val="32"/>
          <w:szCs w:val="32"/>
          <w:lang w:eastAsia="zh-CN"/>
        </w:rPr>
        <w:t>、</w:t>
      </w:r>
      <w:r>
        <w:rPr>
          <w:rStyle w:val="18"/>
          <w:rFonts w:hint="eastAsia" w:ascii="仿宋" w:hAnsi="仿宋" w:eastAsia="仿宋" w:cs="仿宋"/>
          <w:b/>
          <w:bCs/>
          <w:sz w:val="32"/>
          <w:szCs w:val="32"/>
        </w:rPr>
        <w:t>效益指标完成情况分析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仿宋" w:hAnsi="仿宋" w:eastAsia="仿宋" w:cs="仿宋"/>
          <w:b w:val="0"/>
          <w:bCs w:val="0"/>
          <w:sz w:val="32"/>
          <w:szCs w:val="32"/>
          <w:lang w:val="en-US" w:eastAsia="zh-CN"/>
        </w:rPr>
      </w:pPr>
      <w:r>
        <w:rPr>
          <w:rStyle w:val="18"/>
          <w:rFonts w:hint="eastAsia" w:ascii="仿宋" w:hAnsi="仿宋" w:eastAsia="仿宋" w:cs="仿宋"/>
          <w:b w:val="0"/>
          <w:bCs w:val="0"/>
          <w:sz w:val="32"/>
          <w:szCs w:val="32"/>
        </w:rPr>
        <w:t>（1）项目实施的经济效益分析</w:t>
      </w:r>
      <w:r>
        <w:rPr>
          <w:rStyle w:val="18"/>
          <w:rFonts w:hint="eastAsia" w:ascii="仿宋" w:hAnsi="仿宋" w:eastAsia="仿宋" w:cs="仿宋"/>
          <w:b w:val="0"/>
          <w:bCs w:val="0"/>
          <w:sz w:val="32"/>
          <w:szCs w:val="32"/>
          <w:lang w:eastAsia="zh-CN"/>
        </w:rPr>
        <w:t>。</w:t>
      </w:r>
      <w:r>
        <w:rPr>
          <w:rStyle w:val="18"/>
          <w:rFonts w:hint="eastAsia" w:ascii="仿宋" w:hAnsi="仿宋" w:eastAsia="仿宋" w:cs="仿宋"/>
          <w:b w:val="0"/>
          <w:bCs w:val="0"/>
          <w:sz w:val="32"/>
          <w:szCs w:val="32"/>
        </w:rPr>
        <w:t>挽回刑事诉讼涉案财物的经济损失</w:t>
      </w:r>
      <w:r>
        <w:rPr>
          <w:rStyle w:val="18"/>
          <w:rFonts w:hint="eastAsia" w:ascii="仿宋" w:hAnsi="仿宋" w:eastAsia="仿宋" w:cs="仿宋"/>
          <w:b w:val="0"/>
          <w:bCs w:val="0"/>
          <w:sz w:val="32"/>
          <w:szCs w:val="32"/>
          <w:lang w:val="en-US" w:eastAsia="zh-CN"/>
        </w:rPr>
        <w:t>57万元，</w:t>
      </w:r>
      <w:r>
        <w:rPr>
          <w:rStyle w:val="18"/>
          <w:rFonts w:hint="eastAsia" w:ascii="仿宋" w:hAnsi="仿宋" w:eastAsia="仿宋" w:cs="仿宋"/>
          <w:b w:val="0"/>
          <w:bCs w:val="0"/>
          <w:sz w:val="32"/>
          <w:szCs w:val="32"/>
        </w:rPr>
        <w:t>业务装备的采购成本节约率</w:t>
      </w:r>
      <w:r>
        <w:rPr>
          <w:rStyle w:val="18"/>
          <w:rFonts w:hint="eastAsia" w:ascii="仿宋" w:hAnsi="仿宋" w:eastAsia="仿宋" w:cs="仿宋"/>
          <w:b w:val="0"/>
          <w:bCs w:val="0"/>
          <w:sz w:val="32"/>
          <w:szCs w:val="32"/>
          <w:lang w:val="en-US" w:eastAsia="zh-CN"/>
        </w:rPr>
        <w:t>5%。</w:t>
      </w:r>
    </w:p>
    <w:p>
      <w:pPr>
        <w:keepNext w:val="0"/>
        <w:keepLines w:val="0"/>
        <w:pageBreakBefore w:val="0"/>
        <w:widowControl w:val="0"/>
        <w:tabs>
          <w:tab w:val="right" w:pos="7666"/>
        </w:tabs>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仿宋" w:hAnsi="仿宋" w:eastAsia="仿宋" w:cs="仿宋"/>
          <w:b w:val="0"/>
          <w:bCs w:val="0"/>
          <w:sz w:val="32"/>
          <w:szCs w:val="32"/>
        </w:rPr>
      </w:pPr>
      <w:r>
        <w:rPr>
          <w:rStyle w:val="18"/>
          <w:rFonts w:hint="eastAsia" w:ascii="仿宋" w:hAnsi="仿宋" w:eastAsia="仿宋" w:cs="仿宋"/>
          <w:b w:val="0"/>
          <w:bCs w:val="0"/>
          <w:sz w:val="32"/>
          <w:szCs w:val="32"/>
        </w:rPr>
        <w:t>（2）项目实施的社会效益分析</w:t>
      </w:r>
      <w:r>
        <w:rPr>
          <w:rStyle w:val="18"/>
          <w:rFonts w:hint="eastAsia" w:ascii="仿宋" w:hAnsi="仿宋" w:eastAsia="仿宋" w:cs="仿宋"/>
          <w:b w:val="0"/>
          <w:bCs w:val="0"/>
          <w:sz w:val="32"/>
          <w:szCs w:val="32"/>
          <w:lang w:eastAsia="zh-CN"/>
        </w:rPr>
        <w:t>。</w:t>
      </w:r>
      <w:r>
        <w:rPr>
          <w:rStyle w:val="18"/>
          <w:rFonts w:hint="eastAsia" w:ascii="仿宋" w:hAnsi="仿宋" w:eastAsia="仿宋" w:cs="仿宋"/>
          <w:b w:val="0"/>
          <w:bCs w:val="0"/>
          <w:sz w:val="32"/>
          <w:szCs w:val="32"/>
        </w:rPr>
        <w:t>全面监督、规范监督、实现政治效果、法律效果和社会效果相统一</w:t>
      </w:r>
      <w:r>
        <w:rPr>
          <w:rStyle w:val="18"/>
          <w:rFonts w:hint="eastAsia" w:ascii="仿宋" w:hAnsi="仿宋" w:eastAsia="仿宋" w:cs="仿宋"/>
          <w:b w:val="0"/>
          <w:bCs w:val="0"/>
          <w:sz w:val="32"/>
          <w:szCs w:val="32"/>
          <w:lang w:eastAsia="zh-CN"/>
        </w:rPr>
        <w:t>。</w:t>
      </w:r>
      <w:r>
        <w:rPr>
          <w:rStyle w:val="18"/>
          <w:rFonts w:hint="eastAsia" w:ascii="仿宋" w:hAnsi="仿宋" w:eastAsia="仿宋" w:cs="仿宋"/>
          <w:b w:val="0"/>
          <w:bCs w:val="0"/>
          <w:sz w:val="32"/>
          <w:szCs w:val="32"/>
        </w:rPr>
        <w:t>维护社会公平正义</w:t>
      </w:r>
      <w:r>
        <w:rPr>
          <w:rStyle w:val="18"/>
          <w:rFonts w:hint="eastAsia" w:ascii="仿宋" w:hAnsi="仿宋" w:eastAsia="仿宋" w:cs="仿宋"/>
          <w:b w:val="0"/>
          <w:bCs w:val="0"/>
          <w:sz w:val="32"/>
          <w:szCs w:val="32"/>
          <w:lang w:eastAsia="zh-CN"/>
        </w:rPr>
        <w:t>。</w:t>
      </w:r>
      <w:r>
        <w:rPr>
          <w:rStyle w:val="18"/>
          <w:rFonts w:hint="eastAsia" w:ascii="仿宋" w:hAnsi="仿宋" w:eastAsia="仿宋" w:cs="仿宋"/>
          <w:b w:val="0"/>
          <w:bCs w:val="0"/>
          <w:sz w:val="32"/>
          <w:szCs w:val="32"/>
        </w:rPr>
        <w:t>保护生态环境和资源，保障食品药品安全，维护人民生命健康权益</w:t>
      </w:r>
      <w:r>
        <w:rPr>
          <w:rStyle w:val="18"/>
          <w:rFonts w:hint="eastAsia" w:ascii="仿宋" w:hAnsi="仿宋" w:eastAsia="仿宋" w:cs="仿宋"/>
          <w:b w:val="0"/>
          <w:bCs w:val="0"/>
          <w:sz w:val="32"/>
          <w:szCs w:val="32"/>
          <w:lang w:eastAsia="zh-CN"/>
        </w:rPr>
        <w:t>，</w:t>
      </w:r>
      <w:r>
        <w:rPr>
          <w:rStyle w:val="18"/>
          <w:rFonts w:hint="eastAsia" w:ascii="仿宋" w:hAnsi="仿宋" w:eastAsia="仿宋" w:cs="仿宋"/>
          <w:b w:val="0"/>
          <w:bCs w:val="0"/>
          <w:sz w:val="32"/>
          <w:szCs w:val="32"/>
        </w:rPr>
        <w:t>恢复被破坏的国有林地和土地、督促食药监主管部门整改违法经营药店</w:t>
      </w:r>
      <w:r>
        <w:rPr>
          <w:rStyle w:val="18"/>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仿宋" w:hAnsi="仿宋" w:eastAsia="仿宋" w:cs="仿宋"/>
          <w:b w:val="0"/>
          <w:bCs w:val="0"/>
          <w:sz w:val="32"/>
          <w:szCs w:val="32"/>
          <w:lang w:val="en-US" w:eastAsia="zh-CN"/>
        </w:rPr>
      </w:pPr>
      <w:r>
        <w:rPr>
          <w:rStyle w:val="18"/>
          <w:rFonts w:hint="eastAsia" w:ascii="仿宋" w:hAnsi="仿宋" w:eastAsia="仿宋" w:cs="仿宋"/>
          <w:b w:val="0"/>
          <w:bCs w:val="0"/>
          <w:sz w:val="32"/>
          <w:szCs w:val="32"/>
        </w:rPr>
        <w:t>（</w:t>
      </w:r>
      <w:r>
        <w:rPr>
          <w:rStyle w:val="18"/>
          <w:rFonts w:hint="eastAsia" w:ascii="仿宋" w:hAnsi="仿宋" w:eastAsia="仿宋" w:cs="仿宋"/>
          <w:b w:val="0"/>
          <w:bCs w:val="0"/>
          <w:sz w:val="32"/>
          <w:szCs w:val="32"/>
          <w:lang w:val="en-US" w:eastAsia="zh-CN"/>
        </w:rPr>
        <w:t>3</w:t>
      </w:r>
      <w:r>
        <w:rPr>
          <w:rStyle w:val="18"/>
          <w:rFonts w:hint="eastAsia" w:ascii="仿宋" w:hAnsi="仿宋" w:eastAsia="仿宋" w:cs="仿宋"/>
          <w:b w:val="0"/>
          <w:bCs w:val="0"/>
          <w:sz w:val="32"/>
          <w:szCs w:val="32"/>
        </w:rPr>
        <w:t>）项目实施的可持续影响分析</w:t>
      </w:r>
      <w:r>
        <w:rPr>
          <w:rStyle w:val="18"/>
          <w:rFonts w:hint="eastAsia" w:ascii="仿宋" w:hAnsi="仿宋" w:eastAsia="仿宋" w:cs="仿宋"/>
          <w:b w:val="0"/>
          <w:bCs w:val="0"/>
          <w:sz w:val="32"/>
          <w:szCs w:val="32"/>
          <w:lang w:eastAsia="zh-CN"/>
        </w:rPr>
        <w:t>。</w:t>
      </w:r>
      <w:r>
        <w:rPr>
          <w:rStyle w:val="18"/>
          <w:rFonts w:hint="eastAsia" w:ascii="仿宋" w:hAnsi="仿宋" w:eastAsia="仿宋" w:cs="仿宋"/>
          <w:b w:val="0"/>
          <w:bCs w:val="0"/>
          <w:sz w:val="32"/>
          <w:szCs w:val="32"/>
          <w:lang w:val="en-US" w:eastAsia="zh-CN"/>
        </w:rPr>
        <w:t>目持续时长1年。</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仿宋" w:hAnsi="仿宋" w:eastAsia="仿宋" w:cs="仿宋"/>
          <w:b/>
          <w:bCs/>
          <w:sz w:val="32"/>
          <w:szCs w:val="32"/>
        </w:rPr>
      </w:pPr>
      <w:r>
        <w:rPr>
          <w:rStyle w:val="18"/>
          <w:rFonts w:hint="eastAsia" w:ascii="仿宋" w:hAnsi="仿宋" w:eastAsia="仿宋" w:cs="仿宋"/>
          <w:b/>
          <w:bCs/>
          <w:sz w:val="32"/>
          <w:szCs w:val="32"/>
        </w:rPr>
        <w:t>3</w:t>
      </w:r>
      <w:r>
        <w:rPr>
          <w:rStyle w:val="18"/>
          <w:rFonts w:hint="eastAsia" w:ascii="仿宋" w:hAnsi="仿宋" w:eastAsia="仿宋" w:cs="仿宋"/>
          <w:b/>
          <w:bCs/>
          <w:sz w:val="32"/>
          <w:szCs w:val="32"/>
          <w:lang w:eastAsia="zh-CN"/>
        </w:rPr>
        <w:t>、</w:t>
      </w:r>
      <w:r>
        <w:rPr>
          <w:rStyle w:val="18"/>
          <w:rFonts w:hint="eastAsia" w:ascii="仿宋" w:hAnsi="仿宋" w:eastAsia="仿宋" w:cs="仿宋"/>
          <w:b/>
          <w:bCs/>
          <w:sz w:val="32"/>
          <w:szCs w:val="32"/>
        </w:rPr>
        <w:t>满意度指标完成情况分析</w:t>
      </w:r>
    </w:p>
    <w:p>
      <w:pPr>
        <w:keepNext w:val="0"/>
        <w:keepLines w:val="0"/>
        <w:pageBreakBefore w:val="0"/>
        <w:widowControl w:val="0"/>
        <w:tabs>
          <w:tab w:val="right" w:pos="7666"/>
        </w:tabs>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仿宋" w:hAnsi="仿宋" w:eastAsia="仿宋" w:cs="仿宋"/>
          <w:b w:val="0"/>
          <w:bCs w:val="0"/>
          <w:sz w:val="32"/>
          <w:szCs w:val="32"/>
          <w:lang w:eastAsia="zh-CN"/>
        </w:rPr>
      </w:pPr>
      <w:r>
        <w:rPr>
          <w:rStyle w:val="18"/>
          <w:rFonts w:hint="eastAsia" w:ascii="仿宋" w:hAnsi="仿宋" w:eastAsia="仿宋" w:cs="仿宋"/>
          <w:b w:val="0"/>
          <w:bCs w:val="0"/>
          <w:sz w:val="32"/>
          <w:szCs w:val="32"/>
          <w:lang w:eastAsia="zh-CN"/>
        </w:rPr>
        <w:t>该项目指标已全部完成，</w:t>
      </w:r>
      <w:r>
        <w:rPr>
          <w:rStyle w:val="18"/>
          <w:rFonts w:hint="eastAsia" w:ascii="仿宋" w:hAnsi="仿宋" w:eastAsia="仿宋" w:cs="仿宋"/>
          <w:b w:val="0"/>
          <w:bCs w:val="0"/>
          <w:sz w:val="32"/>
          <w:szCs w:val="32"/>
        </w:rPr>
        <w:t>人民群众对加强法律监督，维护司法公正满意度</w:t>
      </w:r>
      <w:r>
        <w:rPr>
          <w:rStyle w:val="18"/>
          <w:rFonts w:hint="eastAsia" w:ascii="仿宋" w:hAnsi="仿宋" w:eastAsia="仿宋" w:cs="仿宋"/>
          <w:b w:val="0"/>
          <w:bCs w:val="0"/>
          <w:sz w:val="32"/>
          <w:szCs w:val="32"/>
          <w:lang w:val="en-US" w:eastAsia="zh-CN"/>
        </w:rPr>
        <w:t>为</w:t>
      </w:r>
      <w:r>
        <w:rPr>
          <w:rStyle w:val="18"/>
          <w:rFonts w:hint="eastAsia" w:ascii="仿宋" w:hAnsi="仿宋" w:eastAsia="仿宋" w:cs="仿宋"/>
          <w:b w:val="0"/>
          <w:bCs w:val="0"/>
          <w:sz w:val="32"/>
          <w:szCs w:val="32"/>
        </w:rPr>
        <w:t>100%</w:t>
      </w:r>
      <w:r>
        <w:rPr>
          <w:rStyle w:val="18"/>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该项目已完成所有设定的绩效目标任务，完成率</w:t>
      </w:r>
      <w:r>
        <w:rPr>
          <w:rStyle w:val="18"/>
          <w:rFonts w:hint="eastAsia" w:ascii="仿宋" w:hAnsi="仿宋" w:eastAsia="仿宋"/>
          <w:b w:val="0"/>
          <w:spacing w:val="-4"/>
          <w:sz w:val="32"/>
          <w:szCs w:val="32"/>
          <w:lang w:val="en-US" w:eastAsia="zh-CN"/>
        </w:rPr>
        <w:t>100%不存在未完成目标值情况。</w:t>
      </w:r>
    </w:p>
    <w:p>
      <w:pPr>
        <w:keepNext w:val="0"/>
        <w:keepLines w:val="0"/>
        <w:pageBreakBefore w:val="0"/>
        <w:widowControl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2018年，我院认真按照最高人民检察院及县财政局的要求开展了贯穿项目管理和预算执行全过程的预算绩效管理工作，结合部门年度预算编制同步编报绩效目标，开展绩效监控，对财政支出绩效和绩效管理工作进行自评，形成了较为完整的预算绩效管理体系。制定的绩效目标，实现目标科学合理，评价客观有效。2018年度的绩效管理工作情况除了在单位内部公开，还专项报告最高人民检察院，在编制部门预算工作中，也结合绩效管理情况，提出相关意见和建议，促进预算编制更加科学合理，在绩效结果公开和应用方面进行了有益的探索。</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lang w:val="en-US" w:eastAsia="zh-CN"/>
        </w:rPr>
        <w:t>1、</w:t>
      </w:r>
      <w:r>
        <w:rPr>
          <w:rStyle w:val="18"/>
          <w:rFonts w:hint="eastAsia" w:ascii="仿宋" w:hAnsi="仿宋" w:eastAsia="仿宋"/>
          <w:b w:val="0"/>
          <w:spacing w:val="-4"/>
          <w:sz w:val="32"/>
          <w:szCs w:val="32"/>
        </w:rPr>
        <w:t>主要经验及做法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一年来，玛纳斯县人民检察院依法履行法律监督职责，严格公正司法，但由于案件数量逐年增长，疑难复杂重大敏感案件不断增多，对侦查起诉工作带来了一定的压力和挑战，有待在今后工作中采取有效措施认真加以解决。</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lang w:val="en-US" w:eastAsia="zh-CN"/>
        </w:rPr>
        <w:t>2、</w:t>
      </w:r>
      <w:r>
        <w:rPr>
          <w:rStyle w:val="18"/>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无</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bookmarkStart w:id="0" w:name="_GoBack"/>
      <w:bookmarkEnd w:id="0"/>
      <w:r>
        <w:rPr>
          <w:rStyle w:val="18"/>
          <w:rFonts w:hint="eastAsia" w:ascii="仿宋" w:hAnsi="仿宋" w:eastAsia="仿宋"/>
          <w:b w:val="0"/>
          <w:spacing w:val="-4"/>
          <w:sz w:val="32"/>
          <w:szCs w:val="32"/>
          <w:lang w:val="en-US" w:eastAsia="zh-CN"/>
        </w:rPr>
        <w:t>3、</w:t>
      </w:r>
      <w:r>
        <w:rPr>
          <w:rStyle w:val="18"/>
          <w:rFonts w:hint="eastAsia" w:ascii="仿宋" w:hAnsi="仿宋" w:eastAsia="仿宋"/>
          <w:b w:val="0"/>
          <w:spacing w:val="-4"/>
          <w:sz w:val="32"/>
          <w:szCs w:val="32"/>
        </w:rPr>
        <w:t>建议</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根据检察院工作实际，多与相关部门沟通协调，认真研究分析，提出科学的指标考评体系，使指标设置更为合理，真正起到加强财政资金预算管理，结合绩效评价结果，保障法律监督工作顺利开展。</w:t>
      </w:r>
    </w:p>
    <w:p>
      <w:pPr>
        <w:keepNext w:val="0"/>
        <w:keepLines w:val="0"/>
        <w:pageBreakBefore w:val="0"/>
        <w:widowControl w:val="0"/>
        <w:kinsoku/>
        <w:wordWrap/>
        <w:overflowPunct/>
        <w:topLinePunct w:val="0"/>
        <w:autoSpaceDE/>
        <w:autoSpaceDN/>
        <w:bidi w:val="0"/>
        <w:spacing w:line="54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无其他说明内容。</w:t>
      </w:r>
    </w:p>
    <w:p>
      <w:pPr>
        <w:keepNext w:val="0"/>
        <w:keepLines w:val="0"/>
        <w:pageBreakBefore w:val="0"/>
        <w:widowControl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after="0" w:line="240" w:lineRule="auto"/>
        <w:ind w:firstLine="624" w:firstLineChars="200"/>
        <w:rPr>
          <w:rFonts w:hint="eastAsia" w:ascii="仿宋_GB2312" w:hAnsi="Times New Roman" w:eastAsia="仿宋_GB2312" w:cs="Times New Roman"/>
          <w:spacing w:val="-4"/>
          <w:sz w:val="32"/>
          <w:szCs w:val="32"/>
          <w:lang w:eastAsia="zh-CN"/>
        </w:rPr>
      </w:pPr>
      <w:r>
        <w:rPr>
          <w:rFonts w:hint="eastAsia" w:ascii="仿宋" w:hAnsi="仿宋" w:eastAsia="仿宋"/>
          <w:spacing w:val="-4"/>
          <w:sz w:val="32"/>
        </w:rPr>
        <w:t>在项目实施前经过充分论证，项目实施过程中严格管理，项目结束后继续跟踪项目效果，做好项目各项手续、财务管理、项目实施等工作。</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办案业务经费和装备经费项目资金管理过程规范，程序到位，完成了预期绩效目标，群众满意，社会反响好。取得了巨大的社会效益，维护了社会的稳定。</w:t>
      </w:r>
    </w:p>
    <w:p>
      <w:pPr>
        <w:keepNext w:val="0"/>
        <w:keepLines w:val="0"/>
        <w:pageBreakBefore w:val="0"/>
        <w:widowControl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adjustRightInd w:val="0"/>
        <w:snapToGrid w:val="0"/>
        <w:spacing w:line="360" w:lineRule="auto"/>
        <w:ind w:firstLine="624" w:firstLineChars="200"/>
        <w:rPr>
          <w:rStyle w:val="18"/>
          <w:rFonts w:hint="eastAsia" w:ascii="仿宋" w:hAnsi="仿宋" w:eastAsia="仿宋"/>
          <w:b w:val="0"/>
          <w:spacing w:val="-4"/>
          <w:sz w:val="32"/>
          <w:szCs w:val="32"/>
        </w:rPr>
      </w:pPr>
    </w:p>
    <w:p>
      <w:pPr>
        <w:adjustRightInd w:val="0"/>
        <w:snapToGrid w:val="0"/>
        <w:spacing w:line="360" w:lineRule="auto"/>
        <w:ind w:firstLine="624" w:firstLineChars="200"/>
        <w:rPr>
          <w:rStyle w:val="18"/>
          <w:rFonts w:hint="eastAsia" w:ascii="仿宋" w:hAnsi="仿宋" w:eastAsia="仿宋"/>
          <w:b w:val="0"/>
          <w:spacing w:val="-4"/>
          <w:sz w:val="32"/>
          <w:szCs w:val="32"/>
        </w:rPr>
      </w:pPr>
    </w:p>
    <w:p>
      <w:pPr>
        <w:adjustRightInd w:val="0"/>
        <w:snapToGrid w:val="0"/>
        <w:spacing w:line="360" w:lineRule="auto"/>
        <w:ind w:firstLine="624" w:firstLineChars="200"/>
        <w:rPr>
          <w:rStyle w:val="18"/>
          <w:rFonts w:hint="eastAsia" w:ascii="仿宋" w:hAnsi="仿宋" w:eastAsia="仿宋"/>
          <w:b w:val="0"/>
          <w:spacing w:val="-4"/>
          <w:sz w:val="32"/>
          <w:szCs w:val="32"/>
        </w:rPr>
      </w:pPr>
    </w:p>
    <w:p>
      <w:pPr>
        <w:adjustRightInd w:val="0"/>
        <w:snapToGrid w:val="0"/>
        <w:spacing w:line="360" w:lineRule="auto"/>
        <w:ind w:firstLine="624" w:firstLineChars="200"/>
        <w:rPr>
          <w:rStyle w:val="18"/>
          <w:rFonts w:hint="eastAsia" w:ascii="仿宋" w:hAnsi="仿宋" w:eastAsia="仿宋"/>
          <w:b w:val="0"/>
          <w:spacing w:val="-4"/>
          <w:sz w:val="32"/>
          <w:szCs w:val="32"/>
        </w:rPr>
      </w:pPr>
    </w:p>
    <w:p>
      <w:pPr>
        <w:adjustRightInd w:val="0"/>
        <w:snapToGrid w:val="0"/>
        <w:spacing w:line="360" w:lineRule="auto"/>
        <w:ind w:firstLine="624" w:firstLineChars="200"/>
        <w:rPr>
          <w:rStyle w:val="18"/>
          <w:rFonts w:hint="eastAsia" w:ascii="仿宋" w:hAnsi="仿宋" w:eastAsia="仿宋"/>
          <w:b w:val="0"/>
          <w:spacing w:val="-4"/>
          <w:sz w:val="32"/>
          <w:szCs w:val="32"/>
        </w:rPr>
      </w:pPr>
    </w:p>
    <w:p>
      <w:pPr>
        <w:adjustRightInd w:val="0"/>
        <w:snapToGrid w:val="0"/>
        <w:spacing w:line="360" w:lineRule="auto"/>
        <w:ind w:firstLine="624" w:firstLineChars="200"/>
        <w:rPr>
          <w:rStyle w:val="18"/>
          <w:rFonts w:hint="eastAsia" w:ascii="仿宋" w:hAnsi="仿宋" w:eastAsia="仿宋"/>
          <w:b w:val="0"/>
          <w:spacing w:val="-4"/>
          <w:sz w:val="32"/>
          <w:szCs w:val="32"/>
        </w:rPr>
      </w:pPr>
    </w:p>
    <w:p>
      <w:pPr>
        <w:adjustRightInd w:val="0"/>
        <w:snapToGrid w:val="0"/>
        <w:spacing w:line="360" w:lineRule="auto"/>
        <w:ind w:firstLine="624" w:firstLineChars="200"/>
        <w:rPr>
          <w:rStyle w:val="18"/>
          <w:rFonts w:hint="eastAsia" w:ascii="仿宋" w:hAnsi="仿宋" w:eastAsia="仿宋"/>
          <w:b w:val="0"/>
          <w:spacing w:val="-4"/>
          <w:sz w:val="32"/>
          <w:szCs w:val="32"/>
        </w:rPr>
      </w:pPr>
    </w:p>
    <w:p>
      <w:pPr>
        <w:pStyle w:val="2"/>
        <w:rPr>
          <w:rStyle w:val="18"/>
          <w:rFonts w:hint="eastAsia" w:ascii="仿宋" w:hAnsi="仿宋" w:eastAsia="仿宋"/>
          <w:b w:val="0"/>
          <w:bCs/>
          <w:spacing w:val="-4"/>
          <w:sz w:val="32"/>
          <w:szCs w:val="32"/>
        </w:rPr>
      </w:pPr>
    </w:p>
    <w:p>
      <w:pPr>
        <w:rPr>
          <w:rStyle w:val="18"/>
          <w:rFonts w:hint="eastAsia" w:ascii="仿宋" w:hAnsi="仿宋" w:eastAsia="仿宋"/>
          <w:b w:val="0"/>
          <w:spacing w:val="-4"/>
          <w:sz w:val="32"/>
          <w:szCs w:val="32"/>
        </w:rPr>
      </w:pPr>
    </w:p>
    <w:p>
      <w:pPr>
        <w:pStyle w:val="2"/>
        <w:rPr>
          <w:rStyle w:val="18"/>
          <w:rFonts w:hint="eastAsia" w:ascii="仿宋" w:hAnsi="仿宋" w:eastAsia="仿宋"/>
          <w:b w:val="0"/>
          <w:bCs/>
          <w:spacing w:val="-4"/>
          <w:sz w:val="32"/>
          <w:szCs w:val="32"/>
        </w:rPr>
      </w:pPr>
    </w:p>
    <w:p>
      <w:pPr>
        <w:rPr>
          <w:rStyle w:val="18"/>
          <w:rFonts w:hint="eastAsia" w:ascii="仿宋" w:hAnsi="仿宋" w:eastAsia="仿宋"/>
          <w:b w:val="0"/>
          <w:spacing w:val="-4"/>
          <w:sz w:val="32"/>
          <w:szCs w:val="32"/>
        </w:rPr>
      </w:pPr>
    </w:p>
    <w:p>
      <w:pPr>
        <w:rPr>
          <w:rFonts w:hint="eastAsia"/>
        </w:rPr>
      </w:pPr>
    </w:p>
    <w:p>
      <w:pPr>
        <w:pStyle w:val="2"/>
        <w:rPr>
          <w:rFonts w:hint="eastAsia"/>
        </w:rPr>
      </w:pPr>
    </w:p>
    <w:p>
      <w:pPr>
        <w:adjustRightInd w:val="0"/>
        <w:snapToGrid w:val="0"/>
        <w:spacing w:line="360" w:lineRule="auto"/>
        <w:ind w:firstLine="624" w:firstLineChars="200"/>
        <w:rPr>
          <w:rStyle w:val="18"/>
          <w:rFonts w:hint="eastAsia" w:ascii="仿宋" w:hAnsi="仿宋" w:eastAsia="仿宋"/>
          <w:b w:val="0"/>
          <w:spacing w:val="-4"/>
          <w:sz w:val="32"/>
          <w:szCs w:val="32"/>
        </w:rPr>
      </w:pPr>
    </w:p>
    <w:p>
      <w:pPr>
        <w:adjustRightInd w:val="0"/>
        <w:snapToGrid w:val="0"/>
        <w:spacing w:line="360" w:lineRule="auto"/>
        <w:rPr>
          <w:rStyle w:val="18"/>
          <w:rFonts w:hint="eastAsia" w:ascii="仿宋" w:hAnsi="仿宋" w:eastAsia="仿宋"/>
          <w:b w:val="0"/>
          <w:spacing w:val="-4"/>
          <w:sz w:val="32"/>
          <w:szCs w:val="32"/>
        </w:rPr>
      </w:pPr>
    </w:p>
    <w:tbl>
      <w:tblPr>
        <w:tblStyle w:val="20"/>
        <w:tblW w:w="9020" w:type="dxa"/>
        <w:tblInd w:w="93" w:type="dxa"/>
        <w:tblLayout w:type="fixed"/>
        <w:tblCellMar>
          <w:top w:w="0" w:type="dxa"/>
          <w:left w:w="108" w:type="dxa"/>
          <w:bottom w:w="0" w:type="dxa"/>
          <w:right w:w="108" w:type="dxa"/>
        </w:tblCellMar>
      </w:tblPr>
      <w:tblGrid>
        <w:gridCol w:w="720"/>
        <w:gridCol w:w="855"/>
        <w:gridCol w:w="285"/>
        <w:gridCol w:w="849"/>
        <w:gridCol w:w="511"/>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转移支付政法办案（业务）经费及业务装备经费</w:t>
            </w:r>
          </w:p>
        </w:tc>
      </w:tr>
      <w:tr>
        <w:tblPrEx>
          <w:tblLayout w:type="fixed"/>
          <w:tblCellMar>
            <w:top w:w="0" w:type="dxa"/>
            <w:left w:w="108" w:type="dxa"/>
            <w:bottom w:w="0" w:type="dxa"/>
            <w:right w:w="108" w:type="dxa"/>
          </w:tblCellMar>
        </w:tblPrEx>
        <w:trPr>
          <w:trHeight w:val="435" w:hRule="atLeast"/>
        </w:trPr>
        <w:tc>
          <w:tcPr>
            <w:tcW w:w="322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玛纳斯县人民检察院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242.5万元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242.5万元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242.5万元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242.5万元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6"/>
            <w:tcBorders>
              <w:top w:val="single" w:color="auto" w:sz="4" w:space="0"/>
              <w:left w:val="nil"/>
              <w:bottom w:val="single" w:color="auto" w:sz="4" w:space="0"/>
              <w:right w:val="single" w:color="000000" w:sz="4" w:space="0"/>
            </w:tcBorders>
            <w:shd w:val="clear" w:color="auto" w:fill="auto"/>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依法对职务犯罪进行侦查，对刑事案件审查批准逮捕、决定逮捕、提起公诉，依法对刑事诉讼、民事审判和行政诉讼实行监督，依法对执行机关执行刑罚的活动是否合法实行监督，服务全县中心工作，维护全县经济运行的良好环境。</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依法对职务犯罪进行侦查，对刑事案件审查批准逮捕、决定逮捕、提起公诉，依法对刑事诉讼、民事审判和行政诉讼实行监督，依法对执行机关执行刑罚的活动是否合法实行监督，服务全县中心工作，维护全县经济运行的良好环境。</w:t>
            </w:r>
            <w:r>
              <w:rPr>
                <w:rFonts w:hint="eastAsia" w:ascii="宋体" w:hAnsi="宋体" w:cs="宋体"/>
                <w:kern w:val="0"/>
                <w:sz w:val="20"/>
                <w:szCs w:val="20"/>
              </w:rPr>
              <w:t>审查、起诉和终结率全部在80%以上</w:t>
            </w:r>
          </w:p>
        </w:tc>
      </w:tr>
      <w:tr>
        <w:tblPrEx>
          <w:tblLayout w:type="fixed"/>
          <w:tblCellMar>
            <w:top w:w="0" w:type="dxa"/>
            <w:left w:w="108" w:type="dxa"/>
            <w:bottom w:w="0" w:type="dxa"/>
            <w:right w:w="108" w:type="dxa"/>
          </w:tblCellMar>
        </w:tblPrEx>
        <w:trPr>
          <w:trHeight w:val="720" w:hRule="atLeast"/>
        </w:trPr>
        <w:tc>
          <w:tcPr>
            <w:tcW w:w="720" w:type="dxa"/>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年度</w:t>
            </w:r>
          </w:p>
        </w:tc>
        <w:tc>
          <w:tcPr>
            <w:tcW w:w="855" w:type="dxa"/>
            <w:tcBorders>
              <w:top w:val="nil"/>
              <w:left w:val="nil"/>
              <w:bottom w:val="nil"/>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一级指标</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二级指标</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实际完成指标值（包含数字及文字描述）</w:t>
            </w:r>
          </w:p>
        </w:tc>
      </w:tr>
      <w:tr>
        <w:tblPrEx>
          <w:tblLayout w:type="fixed"/>
          <w:tblCellMar>
            <w:top w:w="0" w:type="dxa"/>
            <w:left w:w="108" w:type="dxa"/>
            <w:bottom w:w="0" w:type="dxa"/>
            <w:right w:w="108" w:type="dxa"/>
          </w:tblCellMar>
        </w:tblPrEx>
        <w:trPr>
          <w:trHeight w:val="656" w:hRule="atLeast"/>
        </w:trPr>
        <w:tc>
          <w:tcPr>
            <w:tcW w:w="720"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绩效</w:t>
            </w:r>
          </w:p>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指标</w:t>
            </w:r>
          </w:p>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完成</w:t>
            </w:r>
          </w:p>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情况</w:t>
            </w:r>
          </w:p>
        </w:tc>
        <w:tc>
          <w:tcPr>
            <w:tcW w:w="855"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产出</w:t>
            </w:r>
          </w:p>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指标</w:t>
            </w:r>
          </w:p>
        </w:tc>
        <w:tc>
          <w:tcPr>
            <w:tcW w:w="113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数量指标</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批准逮捕案件数量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52件</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52件</w:t>
            </w:r>
          </w:p>
        </w:tc>
      </w:tr>
      <w:tr>
        <w:tblPrEx>
          <w:tblLayout w:type="fixed"/>
          <w:tblCellMar>
            <w:top w:w="0" w:type="dxa"/>
            <w:left w:w="108" w:type="dxa"/>
            <w:bottom w:w="0" w:type="dxa"/>
            <w:right w:w="108" w:type="dxa"/>
          </w:tblCellMar>
        </w:tblPrEx>
        <w:trPr>
          <w:trHeight w:val="566" w:hRule="atLeast"/>
        </w:trPr>
        <w:tc>
          <w:tcPr>
            <w:tcW w:w="720" w:type="dxa"/>
            <w:vMerge w:val="continue"/>
            <w:tcBorders>
              <w:left w:val="single" w:color="auto" w:sz="4" w:space="0"/>
              <w:right w:val="single" w:color="auto" w:sz="4" w:space="0"/>
            </w:tcBorders>
            <w:vAlign w:val="center"/>
          </w:tcPr>
          <w:p>
            <w:pPr>
              <w:widowControl/>
              <w:jc w:val="center"/>
              <w:textAlignment w:val="cente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提起公诉案件数量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126件</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126件</w:t>
            </w:r>
          </w:p>
        </w:tc>
      </w:tr>
      <w:tr>
        <w:tblPrEx>
          <w:tblLayout w:type="fixed"/>
          <w:tblCellMar>
            <w:top w:w="0" w:type="dxa"/>
            <w:left w:w="108" w:type="dxa"/>
            <w:bottom w:w="0" w:type="dxa"/>
            <w:right w:w="108" w:type="dxa"/>
          </w:tblCellMar>
        </w:tblPrEx>
        <w:trPr>
          <w:trHeight w:val="688" w:hRule="atLeast"/>
        </w:trPr>
        <w:tc>
          <w:tcPr>
            <w:tcW w:w="720" w:type="dxa"/>
            <w:vMerge w:val="continue"/>
            <w:tcBorders>
              <w:left w:val="single" w:color="auto" w:sz="4" w:space="0"/>
              <w:right w:val="single" w:color="auto" w:sz="4" w:space="0"/>
            </w:tcBorders>
            <w:vAlign w:val="center"/>
          </w:tcPr>
          <w:p>
            <w:pPr>
              <w:widowControl/>
              <w:jc w:val="center"/>
              <w:textAlignment w:val="cente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受理公益诉讼案件数量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302件</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302件</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center"/>
              <w:textAlignment w:val="cente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000000" w:sz="4" w:space="0"/>
              <w:right w:val="single" w:color="auto" w:sz="4" w:space="0"/>
            </w:tcBorders>
            <w:shd w:val="clear" w:color="auto" w:fill="auto"/>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减刑、假释、暂予监外执行案件数量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637"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信访数量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36件</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36件</w:t>
            </w:r>
          </w:p>
        </w:tc>
      </w:tr>
      <w:tr>
        <w:tblPrEx>
          <w:tblLayout w:type="fixed"/>
          <w:tblCellMar>
            <w:top w:w="0" w:type="dxa"/>
            <w:left w:w="108" w:type="dxa"/>
            <w:bottom w:w="0" w:type="dxa"/>
            <w:right w:w="108" w:type="dxa"/>
          </w:tblCellMar>
        </w:tblPrEx>
        <w:trPr>
          <w:trHeight w:val="688"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质量指标</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刑事案件的批捕率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94%</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94%</w:t>
            </w:r>
          </w:p>
        </w:tc>
      </w:tr>
      <w:tr>
        <w:tblPrEx>
          <w:tblLayout w:type="fixed"/>
          <w:tblCellMar>
            <w:top w:w="0" w:type="dxa"/>
            <w:left w:w="108" w:type="dxa"/>
            <w:bottom w:w="0" w:type="dxa"/>
            <w:right w:w="108" w:type="dxa"/>
          </w:tblCellMar>
        </w:tblPrEx>
        <w:trPr>
          <w:trHeight w:val="712"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公诉案件的结案率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84%</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84%</w:t>
            </w:r>
          </w:p>
        </w:tc>
      </w:tr>
      <w:tr>
        <w:tblPrEx>
          <w:tblLayout w:type="fixed"/>
          <w:tblCellMar>
            <w:top w:w="0" w:type="dxa"/>
            <w:left w:w="108" w:type="dxa"/>
            <w:bottom w:w="0" w:type="dxa"/>
            <w:right w:w="108" w:type="dxa"/>
          </w:tblCellMar>
        </w:tblPrEx>
        <w:trPr>
          <w:trHeight w:val="694"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000000" w:sz="4" w:space="0"/>
              <w:right w:val="single" w:color="auto" w:sz="4" w:space="0"/>
            </w:tcBorders>
            <w:shd w:val="clear" w:color="auto" w:fill="auto"/>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提出公益诉讼的检察建议和公告的数量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000000" w:sz="4" w:space="0"/>
              <w:right w:val="single" w:color="auto" w:sz="4" w:space="0"/>
            </w:tcBorders>
            <w:shd w:val="clear" w:color="auto" w:fill="auto"/>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办理减刑、假释、暂予监外执行案件结案率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642"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kern w:val="0"/>
                <w:sz w:val="20"/>
                <w:szCs w:val="20"/>
              </w:rPr>
              <w:t>受理信访案件的结案率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642"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时效指标</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预算执行率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622"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tcBorders>
              <w:top w:val="nil"/>
              <w:left w:val="single" w:color="auto" w:sz="4" w:space="0"/>
              <w:right w:val="single" w:color="auto" w:sz="4" w:space="0"/>
            </w:tcBorders>
            <w:shd w:val="clear" w:color="auto" w:fill="auto"/>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成本指标</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项目资金</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kern w:val="0"/>
                <w:sz w:val="20"/>
                <w:szCs w:val="20"/>
                <w:lang w:val="en-US" w:eastAsia="zh-CN"/>
              </w:rPr>
            </w:pPr>
            <w:r>
              <w:rPr>
                <w:rFonts w:hint="eastAsia" w:ascii="宋体" w:hAnsi="宋体" w:cs="宋体"/>
                <w:kern w:val="0"/>
                <w:sz w:val="20"/>
                <w:szCs w:val="20"/>
              </w:rPr>
              <w:t>242.5万元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kern w:val="0"/>
                <w:sz w:val="20"/>
                <w:szCs w:val="20"/>
                <w:lang w:val="en-US" w:eastAsia="zh-CN"/>
              </w:rPr>
            </w:pPr>
            <w:r>
              <w:rPr>
                <w:rFonts w:hint="eastAsia" w:ascii="宋体" w:hAnsi="宋体" w:cs="宋体"/>
                <w:kern w:val="0"/>
                <w:sz w:val="20"/>
                <w:szCs w:val="20"/>
              </w:rPr>
              <w:t>242.5万元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restart"/>
            <w:tcBorders>
              <w:top w:val="single" w:color="auto" w:sz="4" w:space="0"/>
              <w:left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效益</w:t>
            </w:r>
          </w:p>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指标</w:t>
            </w:r>
          </w:p>
        </w:tc>
        <w:tc>
          <w:tcPr>
            <w:tcW w:w="11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经济效益</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挽回刑事诉讼涉案财物的经济损失</w:t>
            </w: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57万</w:t>
            </w:r>
          </w:p>
        </w:tc>
        <w:tc>
          <w:tcPr>
            <w:tcW w:w="178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57万</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p>
        </w:tc>
        <w:tc>
          <w:tcPr>
            <w:tcW w:w="1134"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center"/>
              <w:textAlignment w:val="center"/>
              <w:rPr>
                <w:rFonts w:ascii="宋体" w:hAnsi="宋体" w:cs="宋体"/>
                <w:color w:val="000000"/>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业务装备的采购成本节约率</w:t>
            </w: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78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5%</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left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全面监督、规范监督、实现政治效果、法律效果和社会效果相统一</w:t>
            </w:r>
          </w:p>
        </w:tc>
        <w:tc>
          <w:tcPr>
            <w:tcW w:w="206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维护社会公平正义</w:t>
            </w:r>
          </w:p>
        </w:tc>
        <w:tc>
          <w:tcPr>
            <w:tcW w:w="17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维护社会公平正义</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vMerge w:val="continue"/>
            <w:tcBorders>
              <w:left w:val="single" w:color="auto" w:sz="4" w:space="0"/>
              <w:bottom w:val="single" w:color="000000" w:sz="4" w:space="0"/>
              <w:right w:val="single" w:color="auto" w:sz="4" w:space="0"/>
            </w:tcBorders>
            <w:vAlign w:val="center"/>
          </w:tcPr>
          <w:p>
            <w:pPr>
              <w:widowControl/>
              <w:jc w:val="center"/>
              <w:textAlignment w:val="center"/>
              <w:rPr>
                <w:rFonts w:ascii="宋体" w:hAnsi="宋体" w:cs="宋体"/>
                <w:color w:val="000000"/>
                <w:kern w:val="0"/>
                <w:sz w:val="20"/>
                <w:szCs w:val="20"/>
              </w:rPr>
            </w:pP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保护生态环境和资源，保障食品药品安全，维护人民生命健康权益</w:t>
            </w:r>
          </w:p>
        </w:tc>
        <w:tc>
          <w:tcPr>
            <w:tcW w:w="206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恢复被破坏的国有林地和土地、督促食药监主管部门整改违法经营药店</w:t>
            </w:r>
          </w:p>
        </w:tc>
        <w:tc>
          <w:tcPr>
            <w:tcW w:w="17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恢复被破坏的国有林地和土地、督促食药监主管部门整改违法经营药店</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tcBorders>
              <w:left w:val="single" w:color="auto" w:sz="4" w:space="0"/>
              <w:bottom w:val="single" w:color="000000" w:sz="4" w:space="0"/>
              <w:right w:val="single" w:color="auto" w:sz="4" w:space="0"/>
            </w:tcBorders>
            <w:vAlign w:val="center"/>
          </w:tcPr>
          <w:p>
            <w:pPr>
              <w:widowControl/>
              <w:jc w:val="center"/>
              <w:textAlignment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生态效益</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hint="eastAsia" w:ascii="宋体" w:hAnsi="宋体" w:cs="宋体"/>
                <w:color w:val="000000"/>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rPr>
                <w:rFonts w:ascii="宋体" w:hAnsi="宋体" w:cs="宋体"/>
                <w:kern w:val="0"/>
                <w:sz w:val="20"/>
                <w:szCs w:val="20"/>
              </w:rPr>
            </w:pPr>
          </w:p>
        </w:tc>
        <w:tc>
          <w:tcPr>
            <w:tcW w:w="85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134" w:type="dxa"/>
            <w:gridSpan w:val="2"/>
            <w:tcBorders>
              <w:left w:val="single" w:color="auto" w:sz="4" w:space="0"/>
              <w:bottom w:val="single" w:color="000000" w:sz="4" w:space="0"/>
              <w:right w:val="single" w:color="auto" w:sz="4" w:space="0"/>
            </w:tcBorders>
            <w:vAlign w:val="center"/>
          </w:tcPr>
          <w:p>
            <w:pPr>
              <w:widowControl/>
              <w:jc w:val="center"/>
              <w:textAlignment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可持续影响指标</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项目持续时长</w:t>
            </w:r>
          </w:p>
        </w:tc>
        <w:tc>
          <w:tcPr>
            <w:tcW w:w="2060" w:type="dxa"/>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1年</w:t>
            </w:r>
          </w:p>
        </w:tc>
        <w:tc>
          <w:tcPr>
            <w:tcW w:w="1780"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kern w:val="0"/>
                <w:sz w:val="20"/>
                <w:szCs w:val="20"/>
              </w:rPr>
            </w:pPr>
            <w:r>
              <w:rPr>
                <w:rFonts w:hint="eastAsia" w:ascii="宋体" w:hAnsi="宋体" w:cs="宋体"/>
                <w:kern w:val="0"/>
                <w:sz w:val="20"/>
                <w:szCs w:val="20"/>
                <w:lang w:val="en-US" w:eastAsia="zh-CN"/>
              </w:rPr>
              <w:t>1年</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vAlign w:val="center"/>
          </w:tcPr>
          <w:p>
            <w:pPr>
              <w:rPr>
                <w:rFonts w:ascii="宋体" w:hAnsi="宋体" w:cs="宋体"/>
                <w:kern w:val="0"/>
                <w:sz w:val="20"/>
                <w:szCs w:val="20"/>
              </w:rPr>
            </w:pPr>
          </w:p>
        </w:tc>
        <w:tc>
          <w:tcPr>
            <w:tcW w:w="855" w:type="dxa"/>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满意度</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服务对象满意度</w:t>
            </w:r>
          </w:p>
        </w:tc>
        <w:tc>
          <w:tcPr>
            <w:tcW w:w="247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0"/>
                <w:szCs w:val="20"/>
              </w:rPr>
            </w:pPr>
            <w:r>
              <w:rPr>
                <w:rFonts w:hint="eastAsia" w:ascii="宋体" w:hAnsi="宋体" w:cs="宋体"/>
                <w:kern w:val="0"/>
                <w:sz w:val="20"/>
                <w:szCs w:val="20"/>
              </w:rPr>
              <w:t>人民群众对加强法律监督，维护司法公正满意度</w:t>
            </w:r>
          </w:p>
        </w:tc>
        <w:tc>
          <w:tcPr>
            <w:tcW w:w="206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90%</w:t>
            </w:r>
          </w:p>
        </w:tc>
        <w:tc>
          <w:tcPr>
            <w:tcW w:w="17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90%</w:t>
            </w:r>
          </w:p>
        </w:tc>
      </w:tr>
    </w:tbl>
    <w:p>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D2CDC"/>
    <w:rsid w:val="00106586"/>
    <w:rsid w:val="00121AE4"/>
    <w:rsid w:val="00122CD6"/>
    <w:rsid w:val="00146AAD"/>
    <w:rsid w:val="00154357"/>
    <w:rsid w:val="001B3A40"/>
    <w:rsid w:val="001F4BD9"/>
    <w:rsid w:val="002B4C3B"/>
    <w:rsid w:val="002F1B2E"/>
    <w:rsid w:val="002F2DDD"/>
    <w:rsid w:val="00317322"/>
    <w:rsid w:val="00337C97"/>
    <w:rsid w:val="003615BB"/>
    <w:rsid w:val="003B0F5A"/>
    <w:rsid w:val="003C18BC"/>
    <w:rsid w:val="0041231D"/>
    <w:rsid w:val="004366A8"/>
    <w:rsid w:val="0045747D"/>
    <w:rsid w:val="00464900"/>
    <w:rsid w:val="00492529"/>
    <w:rsid w:val="00502BA7"/>
    <w:rsid w:val="00506594"/>
    <w:rsid w:val="005162F1"/>
    <w:rsid w:val="00535153"/>
    <w:rsid w:val="00542434"/>
    <w:rsid w:val="00554F82"/>
    <w:rsid w:val="0056390D"/>
    <w:rsid w:val="005719B0"/>
    <w:rsid w:val="005D10D6"/>
    <w:rsid w:val="006962DB"/>
    <w:rsid w:val="006B7D31"/>
    <w:rsid w:val="006C57C9"/>
    <w:rsid w:val="007114D2"/>
    <w:rsid w:val="007806A5"/>
    <w:rsid w:val="007A5BE6"/>
    <w:rsid w:val="007A70EC"/>
    <w:rsid w:val="007B7EBD"/>
    <w:rsid w:val="007D1D4C"/>
    <w:rsid w:val="00855E3A"/>
    <w:rsid w:val="00882B0E"/>
    <w:rsid w:val="008C7F6E"/>
    <w:rsid w:val="008E0AD7"/>
    <w:rsid w:val="00922CB9"/>
    <w:rsid w:val="009E5CD9"/>
    <w:rsid w:val="009F5D9B"/>
    <w:rsid w:val="00A26421"/>
    <w:rsid w:val="00A337BA"/>
    <w:rsid w:val="00A41FC0"/>
    <w:rsid w:val="00A4293B"/>
    <w:rsid w:val="00A439AB"/>
    <w:rsid w:val="00A67D50"/>
    <w:rsid w:val="00A8691A"/>
    <w:rsid w:val="00AC1946"/>
    <w:rsid w:val="00AC734D"/>
    <w:rsid w:val="00B40063"/>
    <w:rsid w:val="00B41F61"/>
    <w:rsid w:val="00B772D7"/>
    <w:rsid w:val="00BA46E6"/>
    <w:rsid w:val="00C52F88"/>
    <w:rsid w:val="00C56C72"/>
    <w:rsid w:val="00C61943"/>
    <w:rsid w:val="00C92978"/>
    <w:rsid w:val="00CA6457"/>
    <w:rsid w:val="00D04590"/>
    <w:rsid w:val="00D17F2E"/>
    <w:rsid w:val="00D30354"/>
    <w:rsid w:val="00DF42A0"/>
    <w:rsid w:val="00DF761E"/>
    <w:rsid w:val="00E40FD9"/>
    <w:rsid w:val="00E46C51"/>
    <w:rsid w:val="00E769FE"/>
    <w:rsid w:val="00EA2CBE"/>
    <w:rsid w:val="00EC1BE4"/>
    <w:rsid w:val="00F32FEE"/>
    <w:rsid w:val="00FB10BB"/>
    <w:rsid w:val="00FD7F04"/>
    <w:rsid w:val="05DD4405"/>
    <w:rsid w:val="08613FFA"/>
    <w:rsid w:val="091813D2"/>
    <w:rsid w:val="09437245"/>
    <w:rsid w:val="09F47EA4"/>
    <w:rsid w:val="1174390E"/>
    <w:rsid w:val="12806B7F"/>
    <w:rsid w:val="137F0434"/>
    <w:rsid w:val="15865D76"/>
    <w:rsid w:val="15C151E2"/>
    <w:rsid w:val="18F9640B"/>
    <w:rsid w:val="1C0D6A47"/>
    <w:rsid w:val="1E9429F8"/>
    <w:rsid w:val="225D0B2C"/>
    <w:rsid w:val="25551B3A"/>
    <w:rsid w:val="2A062628"/>
    <w:rsid w:val="30EA762F"/>
    <w:rsid w:val="38C60B8C"/>
    <w:rsid w:val="39593B4E"/>
    <w:rsid w:val="3A9D39B5"/>
    <w:rsid w:val="3D0134C2"/>
    <w:rsid w:val="3DC553F2"/>
    <w:rsid w:val="40BD7312"/>
    <w:rsid w:val="4572762E"/>
    <w:rsid w:val="4A200C61"/>
    <w:rsid w:val="4AD00EA9"/>
    <w:rsid w:val="4C9B6B1F"/>
    <w:rsid w:val="53A911E2"/>
    <w:rsid w:val="553C40C4"/>
    <w:rsid w:val="591530C3"/>
    <w:rsid w:val="5B746D1D"/>
    <w:rsid w:val="5EEA4A45"/>
    <w:rsid w:val="63C42FF6"/>
    <w:rsid w:val="66164D7F"/>
    <w:rsid w:val="66663FA9"/>
    <w:rsid w:val="677100B8"/>
    <w:rsid w:val="68C801D7"/>
    <w:rsid w:val="68FC043A"/>
    <w:rsid w:val="6BF346D2"/>
    <w:rsid w:val="6D24641E"/>
    <w:rsid w:val="6F661AE1"/>
    <w:rsid w:val="714A5F73"/>
    <w:rsid w:val="71D24B09"/>
    <w:rsid w:val="725E592A"/>
    <w:rsid w:val="72CB5E7C"/>
    <w:rsid w:val="74DD0281"/>
    <w:rsid w:val="77586A51"/>
    <w:rsid w:val="78C44D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 w:type="paragraph" w:customStyle="1" w:styleId="47">
    <w:name w:val="p15"/>
    <w:basedOn w:val="1"/>
    <w:qFormat/>
    <w:uiPriority w:val="0"/>
    <w:pPr>
      <w:widowControl/>
    </w:pPr>
    <w:rPr>
      <w:kern w:val="0"/>
    </w:rPr>
  </w:style>
  <w:style w:type="character" w:customStyle="1" w:styleId="48">
    <w:name w:val="font11"/>
    <w:basedOn w:val="17"/>
    <w:qFormat/>
    <w:uiPriority w:val="0"/>
    <w:rPr>
      <w:rFonts w:hint="eastAsia" w:ascii="宋体" w:hAnsi="宋体" w:eastAsia="宋体" w:cs="宋体"/>
      <w:color w:val="000000"/>
      <w:sz w:val="20"/>
      <w:szCs w:val="20"/>
      <w:u w:val="none"/>
    </w:rPr>
  </w:style>
  <w:style w:type="character" w:customStyle="1" w:styleId="49">
    <w:name w:val="font01"/>
    <w:basedOn w:val="17"/>
    <w:qFormat/>
    <w:uiPriority w:val="0"/>
    <w:rPr>
      <w:rFonts w:hint="eastAsia" w:ascii="宋体" w:hAnsi="宋体" w:eastAsia="宋体" w:cs="宋体"/>
      <w:color w:val="000000"/>
      <w:sz w:val="24"/>
      <w:szCs w:val="24"/>
      <w:u w:val="none"/>
    </w:rPr>
  </w:style>
  <w:style w:type="character" w:customStyle="1" w:styleId="50">
    <w:name w:val="font21"/>
    <w:basedOn w:val="17"/>
    <w:qFormat/>
    <w:uiPriority w:val="0"/>
    <w:rPr>
      <w:rFonts w:hint="eastAsia" w:ascii="宋体" w:hAnsi="宋体" w:eastAsia="宋体" w:cs="宋体"/>
      <w:color w:val="000000"/>
      <w:sz w:val="20"/>
      <w:szCs w:val="20"/>
      <w:u w:val="none"/>
    </w:rPr>
  </w:style>
  <w:style w:type="paragraph" w:customStyle="1" w:styleId="5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584</Words>
  <Characters>3335</Characters>
  <Lines>27</Lines>
  <Paragraphs>7</Paragraphs>
  <TotalTime>11</TotalTime>
  <ScaleCrop>false</ScaleCrop>
  <LinksUpToDate>false</LinksUpToDate>
  <CharactersWithSpaces>3912</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2019-10-28T08:28:17Z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