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项目名称：爆闪警灯购置资金</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提高公安各办案部门工作效率，增强队伍实战能力，全面提升公安工作现代化水平，从而更好的维护稳定和长治久安，减少犯罪率，预防重大事故发生。</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lang w:val="en-US" w:eastAsia="zh-CN"/>
        </w:rPr>
        <w:t>本项目共设置一级指标3个、二级指标9个、三级指标8个指标。三级指标可量化7个，占比75%。</w:t>
      </w:r>
      <w:r>
        <w:rPr>
          <w:rStyle w:val="19"/>
          <w:rFonts w:hint="eastAsia" w:ascii="仿宋" w:hAnsi="仿宋" w:eastAsia="仿宋"/>
          <w:b w:val="0"/>
          <w:spacing w:val="-4"/>
          <w:sz w:val="32"/>
          <w:szCs w:val="32"/>
        </w:rPr>
        <w:t>经费主要用于我局购置爆闪警灯及安装费用。</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玛纳斯县公安局爆闪警灯项目</w:t>
      </w:r>
      <w:r>
        <w:rPr>
          <w:rStyle w:val="19"/>
          <w:rFonts w:hint="eastAsia" w:ascii="仿宋" w:hAnsi="仿宋" w:eastAsia="仿宋"/>
          <w:b w:val="0"/>
          <w:spacing w:val="-4"/>
          <w:sz w:val="32"/>
          <w:szCs w:val="32"/>
          <w:lang w:val="en-US" w:eastAsia="zh-CN"/>
        </w:rPr>
        <w:t>2018年安排总金额11.8万元。项目资金为</w:t>
      </w:r>
      <w:r>
        <w:rPr>
          <w:rStyle w:val="19"/>
          <w:rFonts w:hint="eastAsia" w:ascii="仿宋" w:hAnsi="仿宋" w:eastAsia="仿宋"/>
          <w:b w:val="0"/>
          <w:bCs/>
          <w:spacing w:val="-4"/>
          <w:sz w:val="32"/>
          <w:szCs w:val="32"/>
          <w:lang w:val="en-US" w:eastAsia="zh-CN"/>
        </w:rPr>
        <w:t>自治区</w:t>
      </w:r>
      <w:r>
        <w:rPr>
          <w:rStyle w:val="19"/>
          <w:rFonts w:hint="eastAsia" w:ascii="仿宋" w:hAnsi="仿宋" w:eastAsia="仿宋"/>
          <w:b w:val="0"/>
          <w:bCs/>
          <w:spacing w:val="-4"/>
          <w:sz w:val="32"/>
          <w:szCs w:val="32"/>
          <w:lang w:eastAsia="zh-CN"/>
        </w:rPr>
        <w:t>财政安排</w:t>
      </w:r>
      <w:r>
        <w:rPr>
          <w:rStyle w:val="19"/>
          <w:rFonts w:hint="eastAsia" w:ascii="仿宋" w:hAnsi="仿宋" w:eastAsia="仿宋"/>
          <w:b w:val="0"/>
          <w:bCs/>
          <w:spacing w:val="-4"/>
          <w:sz w:val="32"/>
          <w:szCs w:val="32"/>
          <w:lang w:val="en-US" w:eastAsia="zh-CN"/>
        </w:rPr>
        <w:t>11.8万元，</w:t>
      </w:r>
      <w:r>
        <w:rPr>
          <w:rStyle w:val="19"/>
          <w:rFonts w:hint="eastAsia" w:ascii="仿宋" w:hAnsi="仿宋" w:eastAsia="仿宋"/>
          <w:b w:val="0"/>
          <w:spacing w:val="-4"/>
          <w:sz w:val="32"/>
          <w:szCs w:val="32"/>
          <w:lang w:val="en-US" w:eastAsia="zh-CN"/>
        </w:rPr>
        <w:t>资金已全部到位，执行率100%。</w:t>
      </w:r>
      <w:r>
        <w:rPr>
          <w:rStyle w:val="19"/>
          <w:rFonts w:hint="eastAsia" w:ascii="仿宋" w:hAnsi="仿宋" w:eastAsia="仿宋"/>
          <w:b w:val="0"/>
          <w:spacing w:val="-4"/>
          <w:sz w:val="32"/>
          <w:szCs w:val="32"/>
        </w:rPr>
        <w:t>由我局向县财政局申请资金，县财经领导会议小组同意后办理采购手续，相关手续齐全后向财政局申情资金，做直接支付支付给供货方。</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spacing w:val="-4"/>
          <w:sz w:val="32"/>
          <w:szCs w:val="32"/>
          <w:lang w:val="en-US" w:eastAsia="zh-CN"/>
        </w:rPr>
        <w:t>11.8万元，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%，项目资金主要用于支付爆闪警灯购置资金要用购置爆闪警灯及其安装费用共计11.8万元。资金</w:t>
      </w:r>
      <w:r>
        <w:rPr>
          <w:rStyle w:val="19"/>
          <w:rFonts w:hint="eastAsia" w:ascii="仿宋" w:hAnsi="仿宋" w:eastAsia="仿宋"/>
          <w:b w:val="0"/>
          <w:spacing w:val="-4"/>
          <w:sz w:val="32"/>
          <w:szCs w:val="32"/>
          <w:lang w:eastAsia="zh-CN"/>
        </w:rPr>
        <w:t>使用率</w:t>
      </w:r>
      <w:r>
        <w:rPr>
          <w:rStyle w:val="19"/>
          <w:rFonts w:hint="eastAsia" w:ascii="仿宋" w:hAnsi="仿宋" w:eastAsia="仿宋"/>
          <w:b w:val="0"/>
          <w:spacing w:val="-4"/>
          <w:sz w:val="32"/>
          <w:szCs w:val="32"/>
          <w:lang w:val="en-US" w:eastAsia="zh-CN"/>
        </w:rPr>
        <w:t>100%。</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管理制度、办法的制定及执行</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，按照谁主管、谁负责的原则，明确项目管理和实施的具体责任；</w:t>
      </w:r>
      <w:r>
        <w:rPr>
          <w:rStyle w:val="19"/>
          <w:rFonts w:hint="eastAsia" w:ascii="仿宋" w:hAnsi="仿宋" w:eastAsia="仿宋"/>
          <w:b w:val="0"/>
          <w:spacing w:val="-4"/>
          <w:sz w:val="32"/>
          <w:szCs w:val="32"/>
        </w:rPr>
        <w:t>项目资金由县财政局统一管理，由我局按需进行分批次申请，支付时我局进行五级审批后支付。</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项目投标情况：：</w:t>
      </w:r>
      <w:r>
        <w:rPr>
          <w:rStyle w:val="19"/>
          <w:rFonts w:hint="eastAsia" w:ascii="仿宋" w:hAnsi="仿宋" w:eastAsia="仿宋"/>
          <w:b w:val="0"/>
          <w:spacing w:val="-4"/>
          <w:sz w:val="32"/>
          <w:szCs w:val="32"/>
          <w:lang w:val="en-US" w:eastAsia="zh-CN"/>
        </w:rPr>
        <w:t>实际项</w:t>
      </w:r>
      <w:r>
        <w:rPr>
          <w:rStyle w:val="19"/>
          <w:rFonts w:hint="eastAsia" w:ascii="仿宋" w:hAnsi="仿宋" w:eastAsia="仿宋"/>
          <w:b w:val="0"/>
          <w:spacing w:val="-4"/>
          <w:sz w:val="32"/>
          <w:szCs w:val="32"/>
          <w:lang w:eastAsia="zh-CN"/>
        </w:rPr>
        <w:t>目总投入</w:t>
      </w:r>
      <w:r>
        <w:rPr>
          <w:rStyle w:val="19"/>
          <w:rFonts w:hint="eastAsia" w:ascii="仿宋" w:hAnsi="仿宋" w:eastAsia="仿宋"/>
          <w:b w:val="0"/>
          <w:spacing w:val="-4"/>
          <w:sz w:val="32"/>
          <w:szCs w:val="32"/>
          <w:lang w:val="en-US" w:eastAsia="zh-CN"/>
        </w:rPr>
        <w:t>11.8万元。主要用于支付</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爆闪警灯及其安装费用。</w:t>
      </w:r>
      <w:r>
        <w:rPr>
          <w:rStyle w:val="19"/>
          <w:rFonts w:hint="eastAsia" w:ascii="仿宋" w:hAnsi="仿宋" w:eastAsia="仿宋"/>
          <w:b w:val="0"/>
          <w:spacing w:val="-4"/>
          <w:sz w:val="32"/>
          <w:szCs w:val="32"/>
          <w:lang w:eastAsia="zh-CN"/>
        </w:rPr>
        <w:t>年初预算安排</w:t>
      </w:r>
      <w:r>
        <w:rPr>
          <w:rStyle w:val="19"/>
          <w:rFonts w:hint="eastAsia" w:ascii="仿宋" w:hAnsi="仿宋" w:eastAsia="仿宋"/>
          <w:b w:val="0"/>
          <w:spacing w:val="-4"/>
          <w:sz w:val="32"/>
          <w:szCs w:val="32"/>
          <w:lang w:val="en-US" w:eastAsia="zh-CN"/>
        </w:rPr>
        <w:t>0万元，2018年追加资金11.8万元。</w:t>
      </w:r>
      <w:r>
        <w:rPr>
          <w:rStyle w:val="19"/>
          <w:rFonts w:hint="eastAsia" w:ascii="仿宋" w:hAnsi="仿宋" w:eastAsia="仿宋"/>
          <w:b w:val="0"/>
          <w:spacing w:val="-4"/>
          <w:sz w:val="32"/>
          <w:szCs w:val="32"/>
        </w:rPr>
        <w:t>我局资金使用严格执行我局各项规章制度，资金落实到位，不拖欠，不做项目外的其他支出。</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一、项目管理制度建设：以努力用好每一分钱，办好每一件事的为原则，不断提高各项经费的管理水平和使用效益。按照公安厅及上级部门制订的相关财务制度，我局也根据单位的实际情况制定了切实可行的《财务管理制度》、《财务岗位职责》</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《差旅费报销制度》等会计制度，及时学习更新相关规定，根据内部管理的需要，明确了工作岗位职责和权限。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二</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规范资金使用，提高使用效益。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本项目共设置一级指标3个、二级指标9个、三级指标8个指标。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7个，</w:t>
      </w:r>
      <w:r>
        <w:rPr>
          <w:rStyle w:val="19"/>
          <w:rFonts w:hint="eastAsia" w:ascii="仿宋" w:hAnsi="仿宋" w:eastAsia="仿宋"/>
          <w:b w:val="0"/>
          <w:spacing w:val="-4"/>
          <w:sz w:val="32"/>
          <w:szCs w:val="32"/>
          <w:lang w:eastAsia="zh-CN"/>
        </w:rPr>
        <w:t>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w:t>
      </w:r>
      <w:r>
        <w:rPr>
          <w:rStyle w:val="19"/>
          <w:rFonts w:hint="eastAsia" w:ascii="仿宋" w:hAnsi="仿宋" w:eastAsia="仿宋"/>
          <w:b/>
          <w:bCs w:val="0"/>
          <w:spacing w:val="-4"/>
          <w:sz w:val="32"/>
          <w:szCs w:val="32"/>
          <w:highlight w:val="none"/>
        </w:rPr>
        <w:t>产出指标完成情况分析。</w:t>
      </w:r>
    </w:p>
    <w:p>
      <w:pPr>
        <w:spacing w:line="540" w:lineRule="exact"/>
        <w:ind w:firstLine="873" w:firstLineChars="28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（1）项目完成数量。购置金额</w:t>
      </w:r>
      <w:r>
        <w:rPr>
          <w:rStyle w:val="19"/>
          <w:rFonts w:hint="eastAsia" w:ascii="仿宋" w:hAnsi="仿宋" w:eastAsia="仿宋"/>
          <w:b w:val="0"/>
          <w:spacing w:val="-4"/>
          <w:sz w:val="32"/>
          <w:szCs w:val="32"/>
          <w:lang w:val="en-US" w:eastAsia="zh-CN"/>
        </w:rPr>
        <w:t>11.8万。</w:t>
      </w:r>
    </w:p>
    <w:p>
      <w:pPr>
        <w:spacing w:line="540" w:lineRule="exact"/>
        <w:ind w:firstLine="873" w:firstLineChars="28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（2）项目完成质量。</w:t>
      </w:r>
      <w:r>
        <w:rPr>
          <w:rStyle w:val="19"/>
          <w:rFonts w:hint="eastAsia" w:ascii="仿宋" w:hAnsi="仿宋" w:eastAsia="仿宋"/>
          <w:b w:val="0"/>
          <w:spacing w:val="-4"/>
          <w:sz w:val="32"/>
          <w:szCs w:val="32"/>
        </w:rPr>
        <w:t>爆闪警灯及其安装费用</w:t>
      </w:r>
      <w:r>
        <w:rPr>
          <w:rStyle w:val="19"/>
          <w:rFonts w:hint="eastAsia" w:ascii="仿宋" w:hAnsi="仿宋" w:eastAsia="仿宋"/>
          <w:b w:val="0"/>
          <w:spacing w:val="-4"/>
          <w:sz w:val="32"/>
          <w:szCs w:val="32"/>
          <w:lang w:eastAsia="zh-CN"/>
        </w:rPr>
        <w:t>，依法执行率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实际该项指标已全部完成，完成率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873" w:firstLineChars="28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（3）项目时效。资金执行率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873" w:firstLineChars="28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（4）项目成本。</w:t>
      </w:r>
      <w:r>
        <w:rPr>
          <w:rStyle w:val="19"/>
          <w:rFonts w:hint="eastAsia" w:ascii="仿宋" w:hAnsi="仿宋" w:eastAsia="仿宋"/>
          <w:b w:val="0"/>
          <w:spacing w:val="-4"/>
          <w:sz w:val="32"/>
          <w:szCs w:val="32"/>
        </w:rPr>
        <w:t>爆闪警灯及其安装费用</w:t>
      </w:r>
      <w:r>
        <w:rPr>
          <w:rStyle w:val="19"/>
          <w:rFonts w:hint="eastAsia" w:ascii="仿宋" w:hAnsi="仿宋" w:eastAsia="仿宋"/>
          <w:b w:val="0"/>
          <w:spacing w:val="-4"/>
          <w:sz w:val="32"/>
          <w:szCs w:val="32"/>
          <w:lang w:eastAsia="zh-CN"/>
        </w:rPr>
        <w:t>资金投入</w:t>
      </w:r>
      <w:r>
        <w:rPr>
          <w:rStyle w:val="19"/>
          <w:rFonts w:hint="eastAsia" w:ascii="仿宋" w:hAnsi="仿宋" w:eastAsia="仿宋"/>
          <w:b w:val="0"/>
          <w:spacing w:val="-4"/>
          <w:sz w:val="32"/>
          <w:szCs w:val="32"/>
          <w:lang w:val="en-US" w:eastAsia="zh-CN"/>
        </w:rPr>
        <w:t>11.8万元，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2</w:t>
      </w:r>
      <w:r>
        <w:rPr>
          <w:rStyle w:val="19"/>
          <w:rFonts w:hint="eastAsia" w:ascii="方正仿宋_GBK" w:hAnsi="方正仿宋_GBK" w:eastAsia="方正仿宋_GBK" w:cs="方正仿宋_GBK"/>
          <w:b/>
          <w:bCs/>
          <w:sz w:val="32"/>
          <w:szCs w:val="32"/>
          <w:lang w:eastAsia="zh-CN"/>
        </w:rPr>
        <w:t>、效益</w:t>
      </w:r>
      <w:r>
        <w:rPr>
          <w:rStyle w:val="19"/>
          <w:rFonts w:hint="eastAsia" w:ascii="方正仿宋_GBK" w:hAnsi="方正仿宋_GBK" w:eastAsia="方正仿宋_GBK" w:cs="方正仿宋_GBK"/>
          <w:b/>
          <w:bCs/>
          <w:sz w:val="32"/>
          <w:szCs w:val="32"/>
        </w:rPr>
        <w:t>指标</w:t>
      </w:r>
      <w:r>
        <w:rPr>
          <w:rStyle w:val="19"/>
          <w:rFonts w:hint="eastAsia" w:ascii="方正仿宋_GBK" w:hAnsi="方正仿宋_GBK" w:eastAsia="方正仿宋_GBK" w:cs="方正仿宋_GBK"/>
          <w:b/>
          <w:bCs/>
          <w:sz w:val="32"/>
          <w:szCs w:val="32"/>
          <w:lang w:eastAsia="zh-CN"/>
        </w:rPr>
        <w:t>完成</w:t>
      </w:r>
      <w:r>
        <w:rPr>
          <w:rStyle w:val="19"/>
          <w:rFonts w:hint="eastAsia" w:ascii="方正仿宋_GBK" w:hAnsi="方正仿宋_GBK" w:eastAsia="方正仿宋_GBK" w:cs="方正仿宋_GBK"/>
          <w:b/>
          <w:bCs/>
          <w:sz w:val="32"/>
          <w:szCs w:val="32"/>
        </w:rPr>
        <w:t>情况分析</w:t>
      </w:r>
    </w:p>
    <w:p>
      <w:pPr>
        <w:spacing w:line="540" w:lineRule="exact"/>
        <w:ind w:firstLine="579" w:firstLineChars="181"/>
        <w:rPr>
          <w:rFonts w:hint="eastAsia" w:ascii="楷体" w:hAnsi="楷体" w:eastAsia="楷体"/>
          <w:b w:val="0"/>
          <w:bCs/>
          <w:color w:val="auto"/>
          <w:spacing w:val="-4"/>
          <w:sz w:val="32"/>
          <w:szCs w:val="32"/>
          <w:lang w:eastAsia="zh-CN"/>
        </w:rPr>
      </w:pPr>
      <w:r>
        <w:rPr>
          <w:rStyle w:val="19"/>
          <w:rFonts w:hint="eastAsia" w:ascii="方正仿宋_GBK" w:hAnsi="方正仿宋_GBK" w:eastAsia="方正仿宋_GBK" w:cs="方正仿宋_GBK"/>
          <w:b w:val="0"/>
          <w:bCs w:val="0"/>
          <w:sz w:val="32"/>
          <w:szCs w:val="32"/>
          <w:highlight w:val="none"/>
        </w:rPr>
        <w:t>（</w:t>
      </w:r>
      <w:r>
        <w:rPr>
          <w:rFonts w:hint="eastAsia" w:ascii="仿宋" w:hAnsi="仿宋" w:eastAsia="仿宋" w:cs="仿宋"/>
          <w:b w:val="0"/>
          <w:bCs/>
          <w:color w:val="auto"/>
          <w:kern w:val="0"/>
          <w:sz w:val="32"/>
          <w:szCs w:val="32"/>
          <w:lang w:eastAsia="zh-CN"/>
        </w:rPr>
        <w:t>1）项目实施的社会效益指标。</w:t>
      </w:r>
      <w:r>
        <w:rPr>
          <w:rStyle w:val="19"/>
          <w:rFonts w:hint="eastAsia" w:ascii="仿宋" w:hAnsi="仿宋" w:eastAsia="仿宋"/>
          <w:b w:val="0"/>
          <w:spacing w:val="-4"/>
          <w:sz w:val="32"/>
          <w:szCs w:val="32"/>
        </w:rPr>
        <w:t>为维护社会稳定做出坚实的保障</w:t>
      </w:r>
      <w:r>
        <w:rPr>
          <w:rStyle w:val="19"/>
          <w:rFonts w:hint="eastAsia" w:ascii="仿宋" w:hAnsi="仿宋" w:eastAsia="仿宋"/>
          <w:b w:val="0"/>
          <w:spacing w:val="-4"/>
          <w:sz w:val="32"/>
          <w:szCs w:val="32"/>
          <w:lang w:eastAsia="zh-CN"/>
        </w:rPr>
        <w:t>，</w:t>
      </w:r>
      <w:r>
        <w:rPr>
          <w:rFonts w:hint="eastAsia" w:ascii="楷体" w:hAnsi="楷体" w:eastAsia="楷体"/>
          <w:b w:val="0"/>
          <w:bCs/>
          <w:color w:val="auto"/>
          <w:spacing w:val="-4"/>
          <w:sz w:val="32"/>
          <w:szCs w:val="32"/>
          <w:lang w:eastAsia="zh-CN"/>
        </w:rPr>
        <w:t>实现交通秩序良好，事故预防措施有效、执法规范化。已完成该项指标，完成率</w:t>
      </w:r>
      <w:r>
        <w:rPr>
          <w:rFonts w:hint="eastAsia" w:ascii="楷体" w:hAnsi="楷体" w:eastAsia="楷体"/>
          <w:b w:val="0"/>
          <w:bCs/>
          <w:color w:val="auto"/>
          <w:spacing w:val="-4"/>
          <w:sz w:val="32"/>
          <w:szCs w:val="32"/>
          <w:lang w:val="en-US" w:eastAsia="zh-CN"/>
        </w:rPr>
        <w:t>100%</w:t>
      </w:r>
      <w:r>
        <w:rPr>
          <w:rFonts w:hint="eastAsia" w:ascii="楷体" w:hAnsi="楷体" w:eastAsia="楷体"/>
          <w:b w:val="0"/>
          <w:bCs/>
          <w:color w:val="auto"/>
          <w:spacing w:val="-4"/>
          <w:sz w:val="32"/>
          <w:szCs w:val="32"/>
          <w:lang w:eastAsia="zh-CN"/>
        </w:rPr>
        <w:t>。</w:t>
      </w:r>
    </w:p>
    <w:p>
      <w:pPr>
        <w:spacing w:line="540" w:lineRule="exact"/>
        <w:ind w:firstLine="564" w:firstLineChars="181"/>
        <w:rPr>
          <w:rFonts w:hint="eastAsia" w:ascii="楷体" w:hAnsi="楷体" w:eastAsia="楷体"/>
          <w:b w:val="0"/>
          <w:bCs/>
          <w:color w:val="auto"/>
          <w:spacing w:val="-4"/>
          <w:sz w:val="32"/>
          <w:szCs w:val="32"/>
          <w:lang w:eastAsia="zh-CN"/>
        </w:rPr>
      </w:pPr>
      <w:r>
        <w:rPr>
          <w:rFonts w:hint="eastAsia" w:ascii="楷体" w:hAnsi="楷体" w:eastAsia="楷体"/>
          <w:b w:val="0"/>
          <w:bCs/>
          <w:color w:val="auto"/>
          <w:spacing w:val="-4"/>
          <w:sz w:val="32"/>
          <w:szCs w:val="32"/>
          <w:lang w:eastAsia="zh-CN"/>
        </w:rPr>
        <w:t>3、满意度指标完成情况分析</w:t>
      </w:r>
    </w:p>
    <w:p>
      <w:pPr>
        <w:spacing w:line="540" w:lineRule="exact"/>
        <w:ind w:firstLine="564" w:firstLineChars="181"/>
        <w:rPr>
          <w:rFonts w:hint="eastAsia" w:ascii="楷体" w:hAnsi="楷体" w:eastAsia="楷体"/>
          <w:b w:val="0"/>
          <w:bCs/>
          <w:color w:val="auto"/>
          <w:spacing w:val="-4"/>
          <w:sz w:val="32"/>
          <w:szCs w:val="32"/>
          <w:lang w:eastAsia="zh-CN"/>
        </w:rPr>
      </w:pPr>
      <w:r>
        <w:rPr>
          <w:rFonts w:hint="eastAsia" w:ascii="楷体" w:hAnsi="楷体" w:eastAsia="楷体"/>
          <w:b w:val="0"/>
          <w:bCs/>
          <w:color w:val="auto"/>
          <w:spacing w:val="-4"/>
          <w:sz w:val="32"/>
          <w:szCs w:val="32"/>
          <w:lang w:val="en-US" w:eastAsia="zh-CN"/>
        </w:rPr>
        <w:t>（2）</w:t>
      </w:r>
      <w:r>
        <w:rPr>
          <w:rFonts w:hint="eastAsia" w:ascii="楷体" w:hAnsi="楷体" w:eastAsia="楷体"/>
          <w:b w:val="0"/>
          <w:bCs/>
          <w:color w:val="auto"/>
          <w:spacing w:val="-4"/>
          <w:sz w:val="32"/>
          <w:szCs w:val="32"/>
          <w:lang w:eastAsia="zh-CN"/>
        </w:rPr>
        <w:t>项目实施的可持续影响分析。预计该项目社会大局持续稳定＞</w:t>
      </w:r>
      <w:r>
        <w:rPr>
          <w:rFonts w:hint="eastAsia" w:ascii="楷体" w:hAnsi="楷体" w:eastAsia="楷体"/>
          <w:b w:val="0"/>
          <w:bCs/>
          <w:color w:val="auto"/>
          <w:spacing w:val="-4"/>
          <w:sz w:val="32"/>
          <w:szCs w:val="32"/>
          <w:lang w:val="en-US" w:eastAsia="zh-CN"/>
        </w:rPr>
        <w:t>90</w:t>
      </w:r>
      <w:r>
        <w:rPr>
          <w:rFonts w:hint="eastAsia" w:ascii="楷体" w:hAnsi="楷体" w:eastAsia="楷体"/>
          <w:b w:val="0"/>
          <w:bCs/>
          <w:color w:val="auto"/>
          <w:spacing w:val="-4"/>
          <w:sz w:val="32"/>
          <w:szCs w:val="32"/>
          <w:lang w:eastAsia="zh-CN"/>
        </w:rPr>
        <w:t>%，已完成该项目指标，完成率</w:t>
      </w:r>
      <w:r>
        <w:rPr>
          <w:rFonts w:hint="eastAsia" w:ascii="楷体" w:hAnsi="楷体" w:eastAsia="楷体"/>
          <w:b w:val="0"/>
          <w:bCs/>
          <w:color w:val="auto"/>
          <w:spacing w:val="-4"/>
          <w:sz w:val="32"/>
          <w:szCs w:val="32"/>
          <w:lang w:val="en-US" w:eastAsia="zh-CN"/>
        </w:rPr>
        <w:t>100%</w:t>
      </w:r>
      <w:r>
        <w:rPr>
          <w:rFonts w:hint="eastAsia" w:ascii="楷体" w:hAnsi="楷体" w:eastAsia="楷体"/>
          <w:b w:val="0"/>
          <w:bCs/>
          <w:color w:val="auto"/>
          <w:spacing w:val="-4"/>
          <w:sz w:val="32"/>
          <w:szCs w:val="32"/>
          <w:lang w:eastAsia="zh-CN"/>
        </w:rPr>
        <w:t>。</w:t>
      </w:r>
    </w:p>
    <w:p>
      <w:pPr>
        <w:spacing w:line="540" w:lineRule="exact"/>
        <w:ind w:firstLine="564" w:firstLineChars="181"/>
        <w:rPr>
          <w:rFonts w:hint="eastAsia" w:ascii="楷体" w:hAnsi="楷体" w:eastAsia="楷体"/>
          <w:b w:val="0"/>
          <w:bCs/>
          <w:color w:val="auto"/>
          <w:spacing w:val="-4"/>
          <w:sz w:val="32"/>
          <w:szCs w:val="32"/>
          <w:lang w:val="en-US" w:eastAsia="zh-CN"/>
        </w:rPr>
      </w:pPr>
      <w:r>
        <w:rPr>
          <w:rFonts w:hint="eastAsia" w:ascii="楷体" w:hAnsi="楷体" w:eastAsia="楷体"/>
          <w:b w:val="0"/>
          <w:bCs/>
          <w:color w:val="auto"/>
          <w:spacing w:val="-4"/>
          <w:sz w:val="32"/>
          <w:szCs w:val="32"/>
          <w:lang w:eastAsia="zh-CN"/>
        </w:rPr>
        <w:t>该项目指标全部完成，预计群众满意度＞95%，实际群众满意度</w:t>
      </w:r>
      <w:r>
        <w:rPr>
          <w:rFonts w:hint="eastAsia" w:ascii="楷体" w:hAnsi="楷体" w:eastAsia="楷体"/>
          <w:b w:val="0"/>
          <w:bCs/>
          <w:color w:val="auto"/>
          <w:spacing w:val="-4"/>
          <w:sz w:val="32"/>
          <w:szCs w:val="32"/>
          <w:lang w:val="en-US" w:eastAsia="zh-CN"/>
        </w:rPr>
        <w:t>100</w:t>
      </w:r>
      <w:r>
        <w:rPr>
          <w:rFonts w:hint="eastAsia" w:ascii="楷体" w:hAnsi="楷体" w:eastAsia="楷体"/>
          <w:b w:val="0"/>
          <w:bCs/>
          <w:color w:val="auto"/>
          <w:spacing w:val="-4"/>
          <w:sz w:val="32"/>
          <w:szCs w:val="32"/>
          <w:lang w:eastAsia="zh-CN"/>
        </w:rPr>
        <w:t>%。</w:t>
      </w:r>
    </w:p>
    <w:p>
      <w:pPr>
        <w:spacing w:line="540" w:lineRule="exact"/>
        <w:ind w:firstLine="564" w:firstLineChars="181"/>
        <w:rPr>
          <w:rFonts w:hint="eastAsia" w:ascii="楷体" w:hAnsi="楷体" w:eastAsia="楷体"/>
          <w:b w:val="0"/>
          <w:bCs/>
          <w:color w:val="auto"/>
          <w:spacing w:val="-4"/>
          <w:sz w:val="32"/>
          <w:szCs w:val="32"/>
          <w:lang w:eastAsia="zh-CN"/>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该项目已完成所有设定的绩效目标任务，完成率</w:t>
      </w:r>
      <w:r>
        <w:rPr>
          <w:rStyle w:val="19"/>
          <w:rFonts w:hint="eastAsia" w:ascii="仿宋" w:hAnsi="仿宋" w:eastAsia="仿宋"/>
          <w:b w:val="0"/>
          <w:spacing w:val="-4"/>
          <w:sz w:val="32"/>
          <w:szCs w:val="32"/>
          <w:lang w:val="en-US" w:eastAsia="zh-CN"/>
        </w:rPr>
        <w:t>100%，不存在未完成目标值情况。</w:t>
      </w:r>
    </w:p>
    <w:p>
      <w:pPr>
        <w:spacing w:line="540" w:lineRule="exact"/>
        <w:ind w:firstLine="564" w:firstLineChars="181"/>
        <w:rPr>
          <w:rStyle w:val="19"/>
          <w:rFonts w:ascii="黑体" w:hAnsi="黑体" w:eastAsia="黑体"/>
          <w:b w:val="0"/>
          <w:spacing w:val="-4"/>
          <w:sz w:val="32"/>
          <w:szCs w:val="32"/>
        </w:rPr>
      </w:pPr>
      <w:bookmarkStart w:id="0" w:name="_GoBack"/>
      <w:bookmarkEnd w:id="0"/>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经验及做法：对专项资金，我局严格按照财务管理制度、专项资金管理办法以及本部门厉行节约制度执行，各项专项资金，做到了财政、上级、本部门的三方共同管理、监督</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w:t>
      </w:r>
      <w:r>
        <w:rPr>
          <w:rStyle w:val="19"/>
          <w:rFonts w:hint="eastAsia" w:ascii="仿宋" w:hAnsi="仿宋" w:eastAsia="仿宋"/>
          <w:b w:val="0"/>
          <w:spacing w:val="-4"/>
          <w:sz w:val="32"/>
          <w:szCs w:val="32"/>
          <w:lang w:eastAsia="zh-CN"/>
        </w:rPr>
        <w:t>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无</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3、建议</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无</w:t>
      </w:r>
    </w:p>
    <w:p>
      <w:pPr>
        <w:numPr>
          <w:ilvl w:val="0"/>
          <w:numId w:val="0"/>
        </w:numPr>
        <w:spacing w:line="540" w:lineRule="exact"/>
        <w:ind w:leftChars="181"/>
        <w:rPr>
          <w:rFonts w:ascii="楷体" w:hAnsi="楷体" w:eastAsia="楷体"/>
          <w:b/>
          <w:spacing w:val="-4"/>
          <w:sz w:val="32"/>
          <w:szCs w:val="32"/>
        </w:rPr>
      </w:pPr>
      <w:r>
        <w:rPr>
          <w:rStyle w:val="19"/>
          <w:rFonts w:hint="eastAsia" w:ascii="仿宋" w:hAnsi="仿宋" w:eastAsia="仿宋"/>
          <w:b w:val="0"/>
          <w:spacing w:val="-4"/>
          <w:sz w:val="32"/>
          <w:szCs w:val="32"/>
          <w:lang w:val="en-US" w:eastAsia="zh-CN"/>
        </w:rPr>
        <w:t xml:space="preserve"> </w:t>
      </w:r>
      <w:r>
        <w:rPr>
          <w:rFonts w:hint="eastAsia" w:ascii="楷体" w:hAnsi="楷体" w:eastAsia="楷体"/>
          <w:b/>
          <w:spacing w:val="-4"/>
          <w:sz w:val="32"/>
          <w:szCs w:val="32"/>
        </w:rPr>
        <w:t>（三）其他</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680"/>
        <w:gridCol w:w="2380"/>
        <w:gridCol w:w="2260"/>
      </w:tblGrid>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8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38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爆闪警灯购置资金</w:t>
            </w: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11.8</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11.8</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40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46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000"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提高公安各办案部门工作效率，增强队伍实战能力，全面提升公安工作现代化水平，从而更好的维护稳定和长治久安，减少犯罪率，预防重大事故发生。</w:t>
            </w:r>
          </w:p>
        </w:tc>
        <w:tc>
          <w:tcPr>
            <w:tcW w:w="4640"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提高公安各办案部门工作效率，增强队伍实战能力，全面提升公安工作现代化水平，从而更好的维护稳定和长治久安，减少犯罪率，预防重大事故发生。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00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464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00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464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870" w:hRule="atLeast"/>
        </w:trPr>
        <w:tc>
          <w:tcPr>
            <w:tcW w:w="720" w:type="dxa"/>
            <w:vMerge w:val="restart"/>
            <w:tcBorders>
              <w:top w:val="single" w:color="000000"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购置金额</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11.8</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11.8</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经费依法执行率</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按时完成工程</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上级专项资金金额</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11.8</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11.8</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维护社会稳定</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犯罪数逐年减少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犯罪数逐年减少</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xml:space="preserve"> </w:t>
            </w:r>
            <w:r>
              <w:rPr>
                <w:rFonts w:hint="eastAsia" w:ascii="宋体" w:hAnsi="宋体" w:cs="宋体"/>
                <w:kern w:val="0"/>
                <w:sz w:val="24"/>
                <w:lang w:eastAsia="zh-CN"/>
              </w:rPr>
              <w:t>社会面防控</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w:t>
            </w:r>
            <w:r>
              <w:rPr>
                <w:rFonts w:hint="eastAsia" w:ascii="宋体" w:hAnsi="宋体" w:cs="宋体"/>
                <w:kern w:val="0"/>
                <w:sz w:val="24"/>
                <w:lang w:eastAsia="zh-CN"/>
              </w:rPr>
              <w:t>长期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群众满意率</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B63E1"/>
    <w:rsid w:val="000E7402"/>
    <w:rsid w:val="00121AE4"/>
    <w:rsid w:val="00146AAD"/>
    <w:rsid w:val="001B3A40"/>
    <w:rsid w:val="002977E8"/>
    <w:rsid w:val="003337E0"/>
    <w:rsid w:val="00364E0B"/>
    <w:rsid w:val="003C18BC"/>
    <w:rsid w:val="004366A8"/>
    <w:rsid w:val="0044079C"/>
    <w:rsid w:val="00464900"/>
    <w:rsid w:val="004F7EB0"/>
    <w:rsid w:val="00502BA7"/>
    <w:rsid w:val="005162F1"/>
    <w:rsid w:val="00535153"/>
    <w:rsid w:val="00542434"/>
    <w:rsid w:val="0055267F"/>
    <w:rsid w:val="00554F82"/>
    <w:rsid w:val="0056390D"/>
    <w:rsid w:val="005719B0"/>
    <w:rsid w:val="005C50AE"/>
    <w:rsid w:val="005D10D6"/>
    <w:rsid w:val="005D1979"/>
    <w:rsid w:val="006F709F"/>
    <w:rsid w:val="00722C22"/>
    <w:rsid w:val="00775788"/>
    <w:rsid w:val="007806A5"/>
    <w:rsid w:val="007A7588"/>
    <w:rsid w:val="007C5E51"/>
    <w:rsid w:val="007D1D4C"/>
    <w:rsid w:val="007F7BED"/>
    <w:rsid w:val="00855E3A"/>
    <w:rsid w:val="008858F2"/>
    <w:rsid w:val="008D24C5"/>
    <w:rsid w:val="008F7A1D"/>
    <w:rsid w:val="00922CB9"/>
    <w:rsid w:val="00996504"/>
    <w:rsid w:val="009C4E03"/>
    <w:rsid w:val="009E50B4"/>
    <w:rsid w:val="009E5CD9"/>
    <w:rsid w:val="009F4A8A"/>
    <w:rsid w:val="009F4AB5"/>
    <w:rsid w:val="00A26421"/>
    <w:rsid w:val="00A337BA"/>
    <w:rsid w:val="00A4293B"/>
    <w:rsid w:val="00A67D50"/>
    <w:rsid w:val="00A8691A"/>
    <w:rsid w:val="00AA2202"/>
    <w:rsid w:val="00AC1946"/>
    <w:rsid w:val="00AF2231"/>
    <w:rsid w:val="00B40063"/>
    <w:rsid w:val="00B41F61"/>
    <w:rsid w:val="00BA46E6"/>
    <w:rsid w:val="00BC78EF"/>
    <w:rsid w:val="00BD70BE"/>
    <w:rsid w:val="00C042BC"/>
    <w:rsid w:val="00C56C72"/>
    <w:rsid w:val="00C82D4A"/>
    <w:rsid w:val="00CA6457"/>
    <w:rsid w:val="00CC4FD7"/>
    <w:rsid w:val="00D17F2E"/>
    <w:rsid w:val="00D209D1"/>
    <w:rsid w:val="00D2223F"/>
    <w:rsid w:val="00D30354"/>
    <w:rsid w:val="00D82C00"/>
    <w:rsid w:val="00DF42A0"/>
    <w:rsid w:val="00E0665E"/>
    <w:rsid w:val="00E46C51"/>
    <w:rsid w:val="00E769FE"/>
    <w:rsid w:val="00EA2CBE"/>
    <w:rsid w:val="00EE7710"/>
    <w:rsid w:val="00EF2659"/>
    <w:rsid w:val="00F2607F"/>
    <w:rsid w:val="00F32FEE"/>
    <w:rsid w:val="00F51E2C"/>
    <w:rsid w:val="00FB10BB"/>
    <w:rsid w:val="00FD0AD7"/>
    <w:rsid w:val="02A664B8"/>
    <w:rsid w:val="06073DB0"/>
    <w:rsid w:val="083150B2"/>
    <w:rsid w:val="08FF2DC8"/>
    <w:rsid w:val="0ACF6CD4"/>
    <w:rsid w:val="188D0B54"/>
    <w:rsid w:val="18D564A2"/>
    <w:rsid w:val="28BA02B9"/>
    <w:rsid w:val="290B606E"/>
    <w:rsid w:val="3DA9415D"/>
    <w:rsid w:val="48892FF4"/>
    <w:rsid w:val="48EF30E2"/>
    <w:rsid w:val="4B4B2DC0"/>
    <w:rsid w:val="4EE86CFD"/>
    <w:rsid w:val="50DA0AF7"/>
    <w:rsid w:val="553C40C4"/>
    <w:rsid w:val="59C54B86"/>
    <w:rsid w:val="63C42FF6"/>
    <w:rsid w:val="66265FBB"/>
    <w:rsid w:val="66AE72F5"/>
    <w:rsid w:val="6E8C74D3"/>
    <w:rsid w:val="71375C8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locked/>
    <w:uiPriority w:val="99"/>
    <w:rPr>
      <w:rFonts w:ascii="Calibri" w:hAnsi="Calibri" w:eastAsia="宋体" w:cs="Times New Roman"/>
      <w:kern w:val="2"/>
      <w:sz w:val="18"/>
      <w:szCs w:val="18"/>
    </w:rPr>
  </w:style>
  <w:style w:type="character" w:customStyle="1" w:styleId="32">
    <w:name w:val="页眉 Char"/>
    <w:link w:val="13"/>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337</Words>
  <Characters>1923</Characters>
  <Lines>16</Lines>
  <Paragraphs>4</Paragraphs>
  <TotalTime>0</TotalTime>
  <ScaleCrop>false</ScaleCrop>
  <LinksUpToDate>false</LinksUpToDate>
  <CharactersWithSpaces>2256</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2019-10-25T10:51:46Z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