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项目名称：一体化作战平台相关设备资金</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624" w:firstLineChars="200"/>
        <w:rPr>
          <w:rFonts w:hint="eastAsia" w:ascii="仿宋" w:hAnsi="仿宋" w:eastAsia="仿宋"/>
          <w:spacing w:val="-4"/>
          <w:sz w:val="32"/>
          <w:szCs w:val="32"/>
        </w:rPr>
      </w:pPr>
      <w:r>
        <w:rPr>
          <w:rFonts w:hint="eastAsia" w:ascii="仿宋" w:hAnsi="仿宋" w:eastAsia="仿宋"/>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624" w:firstLineChars="200"/>
        <w:rPr>
          <w:rFonts w:hint="eastAsia" w:ascii="仿宋" w:hAnsi="仿宋" w:eastAsia="仿宋"/>
          <w:spacing w:val="-4"/>
          <w:sz w:val="32"/>
          <w:szCs w:val="32"/>
        </w:rPr>
      </w:pPr>
      <w:r>
        <w:rPr>
          <w:rFonts w:hint="eastAsia" w:ascii="仿宋" w:hAnsi="仿宋" w:eastAsia="仿宋"/>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line="540" w:lineRule="exact"/>
        <w:ind w:firstLine="624" w:firstLineChars="200"/>
        <w:rPr>
          <w:rFonts w:hint="eastAsia" w:ascii="仿宋" w:hAnsi="仿宋" w:eastAsia="仿宋"/>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提高公安各办案部门工作效率，增强队伍实战能力，全面提升公安工作现代化水平，从而更好的维护稳定和长治久安，减少犯罪率，预防重大事故发生。</w:t>
      </w:r>
    </w:p>
    <w:p>
      <w:pPr>
        <w:spacing w:line="540" w:lineRule="exact"/>
        <w:ind w:firstLine="624" w:firstLineChars="200"/>
        <w:rPr>
          <w:rFonts w:hint="eastAsia" w:ascii="仿宋" w:hAnsi="仿宋" w:eastAsia="仿宋"/>
          <w:spacing w:val="-4"/>
          <w:sz w:val="32"/>
          <w:szCs w:val="32"/>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highlight w:val="none"/>
          <w:lang w:val="en-US" w:eastAsia="zh-CN"/>
        </w:rPr>
        <w:t>本项目共设置一级指标3个、二级指标9个、三级指标8个指标。三级指标可量化7个，占比87.5%。</w:t>
      </w:r>
      <w:r>
        <w:rPr>
          <w:rFonts w:hint="eastAsia" w:ascii="仿宋" w:hAnsi="仿宋" w:eastAsia="仿宋"/>
          <w:spacing w:val="-4"/>
          <w:sz w:val="32"/>
          <w:szCs w:val="32"/>
        </w:rPr>
        <w:t>经费主要用于我局购置一体化专用设备。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624" w:firstLineChars="200"/>
        <w:rPr>
          <w:rFonts w:hint="eastAsia" w:ascii="仿宋" w:hAnsi="仿宋" w:eastAsia="仿宋"/>
          <w:spacing w:val="-4"/>
          <w:sz w:val="32"/>
          <w:szCs w:val="32"/>
        </w:rPr>
      </w:pPr>
      <w:r>
        <w:rPr>
          <w:rStyle w:val="19"/>
          <w:rFonts w:hint="eastAsia" w:ascii="仿宋" w:hAnsi="仿宋" w:eastAsia="仿宋"/>
          <w:b w:val="0"/>
          <w:spacing w:val="-4"/>
          <w:sz w:val="32"/>
          <w:szCs w:val="32"/>
          <w:lang w:eastAsia="zh-CN"/>
        </w:rPr>
        <w:t>玛纳斯县公安局一体化平台项目</w:t>
      </w:r>
      <w:r>
        <w:rPr>
          <w:rStyle w:val="19"/>
          <w:rFonts w:hint="eastAsia" w:ascii="仿宋" w:hAnsi="仿宋" w:eastAsia="仿宋"/>
          <w:b w:val="0"/>
          <w:spacing w:val="-4"/>
          <w:sz w:val="32"/>
          <w:szCs w:val="32"/>
          <w:lang w:val="en-US" w:eastAsia="zh-CN"/>
        </w:rPr>
        <w:t>2018年安排总金额237万元。项目资金为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237万元，资金已全部到位，执行率100%。</w:t>
      </w:r>
      <w:r>
        <w:rPr>
          <w:rStyle w:val="19"/>
          <w:rFonts w:hint="eastAsia" w:ascii="仿宋" w:hAnsi="仿宋" w:eastAsia="仿宋"/>
          <w:b w:val="0"/>
          <w:spacing w:val="-4"/>
          <w:sz w:val="32"/>
          <w:szCs w:val="32"/>
          <w:lang w:eastAsia="zh-CN"/>
        </w:rPr>
        <w:t>由我局统一向财政局申请</w:t>
      </w:r>
      <w:r>
        <w:rPr>
          <w:rFonts w:hint="eastAsia" w:ascii="仿宋" w:hAnsi="仿宋" w:eastAsia="仿宋"/>
          <w:spacing w:val="-4"/>
          <w:sz w:val="32"/>
          <w:szCs w:val="32"/>
        </w:rPr>
        <w:t>根据代建处监管的项目进展情况，向财政局申情资金</w:t>
      </w:r>
      <w:r>
        <w:rPr>
          <w:rFonts w:hint="eastAsia" w:ascii="仿宋" w:hAnsi="仿宋" w:eastAsia="仿宋"/>
          <w:spacing w:val="-4"/>
          <w:sz w:val="32"/>
          <w:szCs w:val="32"/>
          <w:lang w:eastAsia="zh-CN"/>
        </w:rPr>
        <w:t>，</w:t>
      </w:r>
      <w:r>
        <w:rPr>
          <w:rFonts w:hint="eastAsia" w:ascii="仿宋" w:hAnsi="仿宋" w:eastAsia="仿宋"/>
          <w:spacing w:val="-4"/>
          <w:sz w:val="32"/>
          <w:szCs w:val="32"/>
        </w:rPr>
        <w:t>相关手续齐全后向财政局申情资金，做直接支付支付给供货方。</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eastAsia="zh-CN"/>
        </w:rPr>
        <w:t>本项目资金总计</w:t>
      </w:r>
      <w:r>
        <w:rPr>
          <w:rFonts w:hint="eastAsia" w:ascii="仿宋" w:hAnsi="仿宋" w:eastAsia="仿宋"/>
          <w:spacing w:val="-4"/>
          <w:sz w:val="32"/>
          <w:szCs w:val="32"/>
        </w:rPr>
        <w:t>237</w:t>
      </w:r>
      <w:r>
        <w:rPr>
          <w:rStyle w:val="19"/>
          <w:rFonts w:hint="eastAsia" w:ascii="仿宋" w:hAnsi="仿宋" w:eastAsia="仿宋"/>
          <w:b w:val="0"/>
          <w:spacing w:val="-4"/>
          <w:sz w:val="32"/>
          <w:szCs w:val="32"/>
          <w:lang w:val="en-US" w:eastAsia="zh-CN"/>
        </w:rPr>
        <w:t>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%，项目资金主要用于支付</w:t>
      </w:r>
      <w:r>
        <w:rPr>
          <w:rFonts w:hint="eastAsia" w:ascii="仿宋" w:hAnsi="仿宋" w:eastAsia="仿宋"/>
          <w:spacing w:val="-4"/>
          <w:sz w:val="32"/>
          <w:szCs w:val="32"/>
        </w:rPr>
        <w:t>一体化作战平台相关设备</w:t>
      </w:r>
      <w:r>
        <w:rPr>
          <w:rStyle w:val="19"/>
          <w:rFonts w:hint="eastAsia" w:ascii="仿宋" w:hAnsi="仿宋" w:eastAsia="仿宋"/>
          <w:b w:val="0"/>
          <w:spacing w:val="-4"/>
          <w:sz w:val="32"/>
          <w:szCs w:val="32"/>
          <w:lang w:val="en-US" w:eastAsia="zh-CN"/>
        </w:rPr>
        <w:t>资金使用完成率100%。</w:t>
      </w:r>
    </w:p>
    <w:p>
      <w:pPr>
        <w:numPr>
          <w:ilvl w:val="0"/>
          <w:numId w:val="1"/>
        </w:num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项目资金管理情况分析</w:t>
      </w:r>
    </w:p>
    <w:p>
      <w:pPr>
        <w:numPr>
          <w:numId w:val="0"/>
        </w:numPr>
        <w:spacing w:line="540" w:lineRule="exact"/>
        <w:ind w:firstLine="624" w:firstLineChars="200"/>
        <w:rPr>
          <w:rFonts w:hint="eastAsia" w:ascii="仿宋" w:hAnsi="仿宋" w:eastAsia="仿宋"/>
          <w:spacing w:val="-4"/>
          <w:sz w:val="32"/>
          <w:szCs w:val="32"/>
        </w:rPr>
      </w:pPr>
      <w:r>
        <w:rPr>
          <w:rStyle w:val="19"/>
          <w:rFonts w:hint="eastAsia" w:ascii="仿宋" w:hAnsi="仿宋" w:eastAsia="仿宋"/>
          <w:b w:val="0"/>
          <w:spacing w:val="-4"/>
          <w:sz w:val="32"/>
          <w:szCs w:val="32"/>
        </w:rPr>
        <w:t>管理制度、办法的制定及执行</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本项目支出符合玛纳斯县</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相关财务管理制度</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我局根据上级主管部门要求项目资金的使用严格按照各项规章制度执行运转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，按照谁主管、谁负责的原则，明确项目管理和实施的具体责任；</w:t>
      </w:r>
      <w:r>
        <w:rPr>
          <w:rFonts w:hint="eastAsia" w:ascii="仿宋" w:hAnsi="仿宋" w:eastAsia="仿宋"/>
          <w:spacing w:val="-4"/>
          <w:sz w:val="32"/>
          <w:szCs w:val="32"/>
        </w:rPr>
        <w:t>项目资金由县财政局统一管理，由我局按需进行分批次申请，支付时我局进行五级审批后支付。</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项目投标情况：</w:t>
      </w:r>
      <w:r>
        <w:rPr>
          <w:rFonts w:hint="eastAsia" w:ascii="仿宋" w:hAnsi="仿宋" w:eastAsia="仿宋"/>
          <w:spacing w:val="-4"/>
          <w:sz w:val="32"/>
          <w:szCs w:val="32"/>
          <w:lang w:val="en-US" w:eastAsia="zh-CN"/>
        </w:rPr>
        <w:t>实际项</w:t>
      </w:r>
      <w:r>
        <w:rPr>
          <w:rFonts w:hint="eastAsia" w:ascii="仿宋" w:hAnsi="仿宋" w:eastAsia="仿宋"/>
          <w:spacing w:val="-4"/>
          <w:sz w:val="32"/>
          <w:szCs w:val="32"/>
          <w:lang w:eastAsia="zh-CN"/>
        </w:rPr>
        <w:t>目总投入</w:t>
      </w:r>
      <w:r>
        <w:rPr>
          <w:rFonts w:hint="eastAsia" w:ascii="仿宋" w:hAnsi="仿宋" w:eastAsia="仿宋"/>
          <w:spacing w:val="-4"/>
          <w:sz w:val="32"/>
          <w:szCs w:val="32"/>
        </w:rPr>
        <w:t>237</w:t>
      </w:r>
      <w:r>
        <w:rPr>
          <w:rStyle w:val="19"/>
          <w:rFonts w:hint="eastAsia" w:ascii="仿宋" w:hAnsi="仿宋" w:eastAsia="仿宋"/>
          <w:b w:val="0"/>
          <w:spacing w:val="-4"/>
          <w:sz w:val="32"/>
          <w:szCs w:val="32"/>
          <w:lang w:val="en-US" w:eastAsia="zh-CN"/>
        </w:rPr>
        <w:t>万元，主要用于</w:t>
      </w:r>
      <w:r>
        <w:rPr>
          <w:rStyle w:val="19"/>
          <w:rFonts w:hint="eastAsia" w:ascii="仿宋" w:hAnsi="仿宋" w:eastAsia="仿宋"/>
          <w:b w:val="0"/>
          <w:spacing w:val="-4"/>
          <w:sz w:val="32"/>
          <w:szCs w:val="32"/>
        </w:rPr>
        <w:t>支付</w:t>
      </w:r>
      <w:r>
        <w:rPr>
          <w:rFonts w:hint="eastAsia" w:ascii="仿宋" w:hAnsi="仿宋" w:eastAsia="仿宋"/>
          <w:spacing w:val="-4"/>
          <w:sz w:val="32"/>
          <w:szCs w:val="32"/>
        </w:rPr>
        <w:t>一体化作战平台相关设备</w:t>
      </w:r>
      <w:r>
        <w:rPr>
          <w:rFonts w:hint="eastAsia" w:ascii="仿宋" w:hAnsi="仿宋" w:eastAsia="仿宋"/>
          <w:spacing w:val="-4"/>
          <w:sz w:val="32"/>
          <w:szCs w:val="32"/>
          <w:lang w:eastAsia="zh-CN"/>
        </w:rPr>
        <w:t>，</w:t>
      </w:r>
      <w:r>
        <w:rPr>
          <w:rFonts w:hint="eastAsia" w:ascii="仿宋" w:hAnsi="仿宋" w:eastAsia="仿宋"/>
          <w:spacing w:val="-4"/>
          <w:sz w:val="32"/>
          <w:szCs w:val="32"/>
        </w:rPr>
        <w:t>我局资金使用严格执行我局各项规章制度，资金落实到位，不拖欠，不做项目外的其他支出。项目资金无调整情况。</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一、</w:t>
      </w:r>
      <w:r>
        <w:rPr>
          <w:rStyle w:val="19"/>
          <w:rFonts w:hint="eastAsia" w:ascii="仿宋" w:hAnsi="仿宋" w:eastAsia="仿宋"/>
          <w:b w:val="0"/>
          <w:spacing w:val="-4"/>
          <w:sz w:val="32"/>
          <w:szCs w:val="32"/>
        </w:rPr>
        <w:t>项目管理制度建设</w:t>
      </w:r>
      <w:r>
        <w:rPr>
          <w:rFonts w:hint="eastAsia" w:ascii="仿宋" w:hAnsi="仿宋" w:eastAsia="仿宋"/>
          <w:spacing w:val="-4"/>
          <w:sz w:val="32"/>
          <w:szCs w:val="32"/>
        </w:rPr>
        <w:t>：以努力用好每一分钱，办好每一件事的为原则，不断提高各项经费的管理水平和使用效益。按照公安厅及上级部门制订的相关财务制度，我局也根据单位的实际情况制定了切实可行的《财务管理制度》、《财务岗位职责》</w:t>
      </w:r>
      <w:r>
        <w:rPr>
          <w:rFonts w:hint="eastAsia" w:ascii="仿宋" w:hAnsi="仿宋" w:eastAsia="仿宋"/>
          <w:spacing w:val="-4"/>
          <w:sz w:val="32"/>
          <w:szCs w:val="32"/>
          <w:lang w:eastAsia="zh-CN"/>
        </w:rPr>
        <w:t>、</w:t>
      </w:r>
      <w:r>
        <w:rPr>
          <w:rFonts w:hint="eastAsia" w:ascii="仿宋" w:hAnsi="仿宋" w:eastAsia="仿宋"/>
          <w:spacing w:val="-4"/>
          <w:sz w:val="32"/>
          <w:szCs w:val="32"/>
        </w:rPr>
        <w:t>《差旅费报销制度》等会计制度，及时学习更新相关规定，根据内部管理的需要，明确了工作岗位职责和权限。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二、</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本项目共设置一级指标3个、二级指标9个、三级指标8个指标。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8</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color w:val="000000" w:themeColor="text1"/>
          <w:spacing w:val="-4"/>
          <w:sz w:val="32"/>
          <w:szCs w:val="32"/>
        </w:rPr>
      </w:pPr>
      <w:r>
        <w:rPr>
          <w:rStyle w:val="19"/>
          <w:rFonts w:hint="eastAsia" w:ascii="仿宋" w:hAnsi="仿宋" w:eastAsia="仿宋"/>
          <w:b w:val="0"/>
          <w:color w:val="000000" w:themeColor="text1"/>
          <w:spacing w:val="-4"/>
          <w:sz w:val="32"/>
          <w:szCs w:val="32"/>
        </w:rPr>
        <w:t>2018年，</w:t>
      </w:r>
      <w:r>
        <w:rPr>
          <w:rStyle w:val="19"/>
          <w:rFonts w:hint="eastAsia" w:ascii="仿宋" w:hAnsi="仿宋" w:eastAsia="仿宋"/>
          <w:b w:val="0"/>
          <w:color w:val="000000" w:themeColor="text1"/>
          <w:spacing w:val="-4"/>
          <w:sz w:val="32"/>
          <w:szCs w:val="32"/>
          <w:lang w:eastAsia="zh-CN"/>
        </w:rPr>
        <w:t>我局</w:t>
      </w:r>
      <w:r>
        <w:rPr>
          <w:rStyle w:val="19"/>
          <w:rFonts w:hint="eastAsia" w:ascii="仿宋" w:hAnsi="仿宋" w:eastAsia="仿宋"/>
          <w:b w:val="0"/>
          <w:color w:val="000000" w:themeColor="text1"/>
          <w:spacing w:val="-4"/>
          <w:sz w:val="32"/>
          <w:szCs w:val="32"/>
        </w:rPr>
        <w:t>紧紧围绕坚持维护社会平安稳定，</w:t>
      </w:r>
      <w:r>
        <w:rPr>
          <w:rStyle w:val="19"/>
          <w:rFonts w:hint="eastAsia" w:ascii="仿宋" w:hAnsi="仿宋" w:eastAsia="仿宋"/>
          <w:b w:val="0"/>
          <w:color w:val="000000" w:themeColor="text1"/>
          <w:spacing w:val="-4"/>
          <w:sz w:val="32"/>
          <w:szCs w:val="32"/>
          <w:lang w:eastAsia="zh-CN"/>
        </w:rPr>
        <w:t>预防和惩治违法犯罪行为，保护公民合法权益，维护社会秩序</w:t>
      </w:r>
      <w:r>
        <w:rPr>
          <w:rStyle w:val="19"/>
          <w:rFonts w:hint="eastAsia" w:ascii="仿宋" w:hAnsi="仿宋" w:eastAsia="仿宋"/>
          <w:b w:val="0"/>
          <w:color w:val="000000" w:themeColor="text1"/>
          <w:spacing w:val="-4"/>
          <w:sz w:val="32"/>
          <w:szCs w:val="32"/>
        </w:rPr>
        <w:t>。2018年</w:t>
      </w:r>
      <w:r>
        <w:rPr>
          <w:rStyle w:val="19"/>
          <w:rFonts w:hint="eastAsia" w:ascii="仿宋" w:hAnsi="仿宋" w:eastAsia="仿宋"/>
          <w:b w:val="0"/>
          <w:bCs/>
          <w:color w:val="000000" w:themeColor="text1"/>
          <w:spacing w:val="-4"/>
          <w:sz w:val="32"/>
          <w:szCs w:val="32"/>
          <w:lang w:eastAsia="zh-CN"/>
        </w:rPr>
        <w:t>财政安排</w:t>
      </w:r>
      <w:r>
        <w:rPr>
          <w:rStyle w:val="19"/>
          <w:rFonts w:hint="eastAsia" w:ascii="仿宋" w:hAnsi="仿宋" w:eastAsia="仿宋"/>
          <w:b w:val="0"/>
          <w:bCs/>
          <w:color w:val="000000" w:themeColor="text1"/>
          <w:spacing w:val="-4"/>
          <w:sz w:val="32"/>
          <w:szCs w:val="32"/>
          <w:lang w:val="en-US" w:eastAsia="zh-CN"/>
        </w:rPr>
        <w:t>237元，</w:t>
      </w:r>
      <w:r>
        <w:rPr>
          <w:rStyle w:val="19"/>
          <w:rFonts w:hint="eastAsia" w:ascii="仿宋" w:hAnsi="仿宋" w:eastAsia="仿宋"/>
          <w:b w:val="0"/>
          <w:color w:val="000000" w:themeColor="text1"/>
          <w:spacing w:val="-4"/>
          <w:sz w:val="32"/>
          <w:szCs w:val="32"/>
        </w:rPr>
        <w:t>资金全部到位。</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color w:val="000000" w:themeColor="text1"/>
          <w:spacing w:val="-4"/>
          <w:sz w:val="32"/>
          <w:szCs w:val="32"/>
        </w:rPr>
      </w:pPr>
      <w:r>
        <w:rPr>
          <w:rStyle w:val="19"/>
          <w:rFonts w:hint="eastAsia" w:ascii="仿宋" w:hAnsi="仿宋" w:eastAsia="仿宋"/>
          <w:b w:val="0"/>
          <w:color w:val="000000" w:themeColor="text1"/>
          <w:spacing w:val="-4"/>
          <w:sz w:val="32"/>
          <w:szCs w:val="32"/>
        </w:rPr>
        <w:t>2、产出目标完成情况</w:t>
      </w:r>
    </w:p>
    <w:p>
      <w:pPr>
        <w:keepNext w:val="0"/>
        <w:keepLines w:val="0"/>
        <w:pageBreakBefore w:val="0"/>
        <w:widowControl w:val="0"/>
        <w:numPr>
          <w:ilvl w:val="0"/>
          <w:numId w:val="0"/>
        </w:numPr>
        <w:kinsoku/>
        <w:wordWrap/>
        <w:overflowPunct/>
        <w:topLinePunct w:val="0"/>
        <w:autoSpaceDE/>
        <w:autoSpaceDN/>
        <w:bidi w:val="0"/>
        <w:spacing w:after="0" w:line="540" w:lineRule="exact"/>
        <w:textAlignment w:val="auto"/>
        <w:outlineLvl w:val="9"/>
        <w:rPr>
          <w:rStyle w:val="19"/>
          <w:rFonts w:hint="default" w:ascii="仿宋" w:hAnsi="仿宋" w:eastAsia="仿宋"/>
          <w:b w:val="0"/>
          <w:color w:val="000000" w:themeColor="text1"/>
          <w:spacing w:val="-4"/>
          <w:sz w:val="32"/>
          <w:szCs w:val="32"/>
          <w:lang w:val="en-US" w:eastAsia="zh-CN"/>
        </w:rPr>
      </w:pPr>
      <w:r>
        <w:rPr>
          <w:rStyle w:val="19"/>
          <w:rFonts w:hint="eastAsia" w:ascii="仿宋" w:hAnsi="仿宋" w:eastAsia="仿宋"/>
          <w:b w:val="0"/>
          <w:color w:val="000000" w:themeColor="text1"/>
          <w:spacing w:val="-4"/>
          <w:sz w:val="32"/>
          <w:szCs w:val="32"/>
          <w:lang w:val="en-US" w:eastAsia="zh-CN"/>
        </w:rPr>
        <w:t xml:space="preserve">  </w:t>
      </w:r>
      <w:r>
        <w:rPr>
          <w:rStyle w:val="19"/>
          <w:rFonts w:hint="eastAsia" w:ascii="仿宋" w:hAnsi="仿宋" w:eastAsia="仿宋" w:cs="Times New Roman"/>
          <w:b w:val="0"/>
          <w:color w:val="000000" w:themeColor="text1"/>
          <w:spacing w:val="-4"/>
          <w:sz w:val="32"/>
          <w:szCs w:val="32"/>
          <w:lang w:eastAsia="zh-CN"/>
        </w:rPr>
        <w:t>我局将</w:t>
      </w:r>
      <w:r>
        <w:rPr>
          <w:rStyle w:val="19"/>
          <w:rFonts w:hint="eastAsia" w:ascii="仿宋" w:hAnsi="仿宋" w:eastAsia="仿宋"/>
          <w:b w:val="0"/>
          <w:color w:val="000000" w:themeColor="text1"/>
          <w:spacing w:val="-4"/>
          <w:sz w:val="32"/>
          <w:szCs w:val="32"/>
          <w:lang w:eastAsia="zh-CN"/>
        </w:rPr>
        <w:t>一体化平台</w:t>
      </w:r>
      <w:r>
        <w:rPr>
          <w:rStyle w:val="19"/>
          <w:rFonts w:hint="eastAsia" w:ascii="仿宋" w:hAnsi="仿宋" w:eastAsia="仿宋" w:cs="Times New Roman"/>
          <w:b w:val="0"/>
          <w:color w:val="000000" w:themeColor="text1"/>
          <w:spacing w:val="-4"/>
          <w:sz w:val="32"/>
          <w:szCs w:val="32"/>
          <w:lang w:eastAsia="zh-CN"/>
        </w:rPr>
        <w:t>项目</w:t>
      </w:r>
      <w:r>
        <w:rPr>
          <w:rStyle w:val="19"/>
          <w:rFonts w:hint="eastAsia" w:ascii="仿宋" w:hAnsi="仿宋" w:eastAsia="仿宋" w:cs="Times New Roman"/>
          <w:b w:val="0"/>
          <w:color w:val="000000" w:themeColor="text1"/>
          <w:spacing w:val="-4"/>
          <w:sz w:val="32"/>
          <w:szCs w:val="32"/>
        </w:rPr>
        <w:t>资金</w:t>
      </w:r>
      <w:r>
        <w:rPr>
          <w:rStyle w:val="19"/>
          <w:rFonts w:hint="eastAsia" w:ascii="仿宋" w:hAnsi="仿宋" w:eastAsia="仿宋" w:cs="Times New Roman"/>
          <w:b w:val="0"/>
          <w:color w:val="000000" w:themeColor="text1"/>
          <w:spacing w:val="-4"/>
          <w:sz w:val="32"/>
          <w:szCs w:val="32"/>
          <w:lang w:eastAsia="zh-CN"/>
        </w:rPr>
        <w:t>用于该项目建设。</w:t>
      </w:r>
    </w:p>
    <w:p>
      <w:pPr>
        <w:keepNext w:val="0"/>
        <w:keepLines w:val="0"/>
        <w:pageBreakBefore w:val="0"/>
        <w:widowControl w:val="0"/>
        <w:numPr>
          <w:ilvl w:val="0"/>
          <w:numId w:val="2"/>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（1）项目完成数量。全年支付金额</w:t>
      </w:r>
      <w:r>
        <w:rPr>
          <w:rStyle w:val="19"/>
          <w:rFonts w:hint="eastAsia" w:ascii="仿宋" w:hAnsi="仿宋" w:eastAsia="仿宋"/>
          <w:b w:val="0"/>
          <w:spacing w:val="-4"/>
          <w:sz w:val="32"/>
          <w:szCs w:val="32"/>
          <w:lang w:val="en-US" w:eastAsia="zh-CN"/>
        </w:rPr>
        <w:t>237万。</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color w:val="000000" w:themeColor="text1"/>
          <w:spacing w:val="-4"/>
          <w:sz w:val="32"/>
          <w:szCs w:val="32"/>
          <w:lang w:eastAsia="zh-CN"/>
        </w:rPr>
      </w:pPr>
      <w:r>
        <w:rPr>
          <w:rStyle w:val="19"/>
          <w:rFonts w:hint="eastAsia" w:ascii="仿宋" w:hAnsi="仿宋" w:eastAsia="仿宋"/>
          <w:b w:val="0"/>
          <w:spacing w:val="-4"/>
          <w:sz w:val="32"/>
          <w:szCs w:val="32"/>
          <w:lang w:eastAsia="zh-CN"/>
        </w:rPr>
        <w:t>（2）项目完成质量。符合公安办公工作环境要求</w:t>
      </w:r>
      <w:r>
        <w:rPr>
          <w:rStyle w:val="19"/>
          <w:rFonts w:hint="eastAsia" w:ascii="仿宋" w:hAnsi="仿宋" w:eastAsia="仿宋"/>
          <w:b w:val="0"/>
          <w:color w:val="000000" w:themeColor="text1"/>
          <w:spacing w:val="-4"/>
          <w:sz w:val="32"/>
          <w:szCs w:val="32"/>
          <w:lang w:eastAsia="zh-CN"/>
        </w:rPr>
        <w:t>全面提高公安机关对社会面的管控，</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（3）项目时效。资金执行率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（4）项目成本。禁毒专项资金投入</w:t>
      </w:r>
      <w:r>
        <w:rPr>
          <w:rStyle w:val="19"/>
          <w:rFonts w:hint="eastAsia" w:ascii="仿宋" w:hAnsi="仿宋" w:eastAsia="仿宋"/>
          <w:b w:val="0"/>
          <w:spacing w:val="-4"/>
          <w:sz w:val="32"/>
          <w:szCs w:val="32"/>
          <w:lang w:val="en-US" w:eastAsia="zh-CN"/>
        </w:rPr>
        <w:t>29.3万元，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2</w:t>
      </w:r>
      <w:r>
        <w:rPr>
          <w:rStyle w:val="19"/>
          <w:rFonts w:hint="eastAsia" w:ascii="方正仿宋_GBK" w:hAnsi="方正仿宋_GBK" w:eastAsia="方正仿宋_GBK" w:cs="方正仿宋_GBK"/>
          <w:b/>
          <w:bCs/>
          <w:sz w:val="32"/>
          <w:szCs w:val="32"/>
          <w:lang w:eastAsia="zh-CN"/>
        </w:rPr>
        <w:t>、效益</w:t>
      </w:r>
      <w:r>
        <w:rPr>
          <w:rStyle w:val="19"/>
          <w:rFonts w:hint="eastAsia" w:ascii="方正仿宋_GBK" w:hAnsi="方正仿宋_GBK" w:eastAsia="方正仿宋_GBK" w:cs="方正仿宋_GBK"/>
          <w:b/>
          <w:bCs/>
          <w:sz w:val="32"/>
          <w:szCs w:val="32"/>
        </w:rPr>
        <w:t>指标</w:t>
      </w:r>
      <w:r>
        <w:rPr>
          <w:rStyle w:val="19"/>
          <w:rFonts w:hint="eastAsia" w:ascii="方正仿宋_GBK" w:hAnsi="方正仿宋_GBK" w:eastAsia="方正仿宋_GBK" w:cs="方正仿宋_GBK"/>
          <w:b/>
          <w:bCs/>
          <w:sz w:val="32"/>
          <w:szCs w:val="32"/>
          <w:lang w:eastAsia="zh-CN"/>
        </w:rPr>
        <w:t>完成</w:t>
      </w:r>
      <w:r>
        <w:rPr>
          <w:rStyle w:val="19"/>
          <w:rFonts w:hint="eastAsia" w:ascii="方正仿宋_GBK" w:hAnsi="方正仿宋_GBK" w:eastAsia="方正仿宋_GBK" w:cs="方正仿宋_GBK"/>
          <w:b/>
          <w:bCs/>
          <w:sz w:val="32"/>
          <w:szCs w:val="32"/>
        </w:rPr>
        <w:t>情况分析</w:t>
      </w:r>
    </w:p>
    <w:p>
      <w:pPr>
        <w:keepNext w:val="0"/>
        <w:keepLines w:val="0"/>
        <w:pageBreakBefore w:val="0"/>
        <w:widowControl w:val="0"/>
        <w:kinsoku/>
        <w:wordWrap/>
        <w:overflowPunct/>
        <w:topLinePunct w:val="0"/>
        <w:autoSpaceDE/>
        <w:autoSpaceDN/>
        <w:bidi w:val="0"/>
        <w:spacing w:after="0" w:line="540" w:lineRule="exact"/>
        <w:ind w:firstLine="579" w:firstLineChars="181"/>
        <w:textAlignment w:val="auto"/>
        <w:outlineLvl w:val="9"/>
        <w:rPr>
          <w:rFonts w:hint="eastAsia" w:ascii="仿宋" w:hAnsi="仿宋" w:eastAsia="仿宋" w:cs="仿宋"/>
          <w:b w:val="0"/>
          <w:bCs/>
          <w:color w:val="auto"/>
          <w:kern w:val="0"/>
          <w:sz w:val="32"/>
          <w:szCs w:val="32"/>
          <w:lang w:eastAsia="zh-CN"/>
        </w:rPr>
      </w:pPr>
      <w:r>
        <w:rPr>
          <w:rStyle w:val="19"/>
          <w:rFonts w:hint="eastAsia" w:ascii="方正仿宋_GBK" w:hAnsi="方正仿宋_GBK" w:eastAsia="方正仿宋_GBK" w:cs="方正仿宋_GBK"/>
          <w:b w:val="0"/>
          <w:bCs w:val="0"/>
          <w:sz w:val="32"/>
          <w:szCs w:val="32"/>
          <w:highlight w:val="none"/>
        </w:rPr>
        <w:t>（</w:t>
      </w:r>
      <w:r>
        <w:rPr>
          <w:rFonts w:hint="eastAsia" w:ascii="仿宋" w:hAnsi="仿宋" w:eastAsia="仿宋" w:cs="仿宋"/>
          <w:b w:val="0"/>
          <w:bCs/>
          <w:color w:val="auto"/>
          <w:kern w:val="0"/>
          <w:sz w:val="32"/>
          <w:szCs w:val="32"/>
          <w:lang w:eastAsia="zh-CN"/>
        </w:rPr>
        <w:t>1）项目实施的社会效益指标。违法案件明显减少，社会治安明显好转。</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Fonts w:hint="eastAsia" w:ascii="仿宋" w:hAnsi="仿宋" w:eastAsia="仿宋" w:cs="仿宋"/>
          <w:b w:val="0"/>
          <w:bCs/>
          <w:color w:val="auto"/>
          <w:kern w:val="0"/>
          <w:sz w:val="32"/>
          <w:szCs w:val="32"/>
          <w:lang w:val="en-US" w:eastAsia="zh-CN"/>
        </w:rPr>
        <w:t>（2）</w:t>
      </w:r>
      <w:r>
        <w:rPr>
          <w:rFonts w:hint="eastAsia" w:ascii="仿宋" w:hAnsi="仿宋" w:eastAsia="仿宋" w:cs="仿宋"/>
          <w:b w:val="0"/>
          <w:bCs/>
          <w:color w:val="auto"/>
          <w:kern w:val="0"/>
          <w:sz w:val="32"/>
          <w:szCs w:val="32"/>
          <w:lang w:eastAsia="zh-CN"/>
        </w:rPr>
        <w:t>项目实施的可持续影响分析。预计该项目社会大局持续稳定＞</w:t>
      </w:r>
      <w:r>
        <w:rPr>
          <w:rFonts w:hint="eastAsia" w:ascii="仿宋" w:hAnsi="仿宋" w:eastAsia="仿宋" w:cs="仿宋"/>
          <w:b w:val="0"/>
          <w:bCs/>
          <w:color w:val="auto"/>
          <w:kern w:val="0"/>
          <w:sz w:val="32"/>
          <w:szCs w:val="32"/>
          <w:lang w:val="en-US" w:eastAsia="zh-CN"/>
        </w:rPr>
        <w:t>90</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eastAsia="zh-CN"/>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spacing w:line="540" w:lineRule="exact"/>
        <w:ind w:firstLine="1248" w:firstLineChars="400"/>
        <w:rPr>
          <w:rFonts w:hint="eastAsia" w:ascii="仿宋" w:hAnsi="仿宋" w:eastAsia="仿宋"/>
          <w:spacing w:val="-4"/>
          <w:sz w:val="32"/>
          <w:szCs w:val="32"/>
          <w:lang w:val="en-US" w:eastAsia="zh-CN"/>
        </w:rPr>
      </w:pPr>
      <w:r>
        <w:rPr>
          <w:rFonts w:hint="eastAsia" w:ascii="仿宋" w:hAnsi="仿宋" w:eastAsia="仿宋"/>
          <w:spacing w:val="-4"/>
          <w:sz w:val="32"/>
          <w:szCs w:val="32"/>
          <w:lang w:val="en-US" w:eastAsia="zh-CN"/>
        </w:rPr>
        <w:t>（三）预算执行进度与绩效指标偏差分析。</w:t>
      </w:r>
    </w:p>
    <w:p>
      <w:pPr>
        <w:spacing w:line="540" w:lineRule="exact"/>
        <w:ind w:firstLine="1248" w:firstLineChars="400"/>
        <w:rPr>
          <w:rFonts w:hint="eastAsia" w:ascii="仿宋" w:hAnsi="仿宋" w:eastAsia="仿宋"/>
          <w:spacing w:val="-4"/>
          <w:sz w:val="32"/>
          <w:szCs w:val="32"/>
        </w:rPr>
      </w:pPr>
      <w:r>
        <w:rPr>
          <w:rFonts w:hint="eastAsia" w:ascii="仿宋" w:hAnsi="仿宋" w:eastAsia="仿宋"/>
          <w:spacing w:val="-4"/>
          <w:sz w:val="32"/>
          <w:szCs w:val="32"/>
          <w:lang w:val="en-US" w:eastAsia="zh-CN"/>
        </w:rPr>
        <w:t>该项目预算执行进度与绩效指标总体完成率无偏差</w:t>
      </w:r>
      <w:bookmarkStart w:id="0" w:name="_GoBack"/>
      <w:bookmarkEnd w:id="0"/>
    </w:p>
    <w:p>
      <w:pPr>
        <w:spacing w:line="540" w:lineRule="exact"/>
        <w:ind w:firstLine="873" w:firstLineChars="28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无</w:t>
      </w:r>
    </w:p>
    <w:p>
      <w:pPr>
        <w:numPr>
          <w:ilvl w:val="0"/>
          <w:numId w:val="3"/>
        </w:numPr>
        <w:spacing w:line="540" w:lineRule="exact"/>
        <w:ind w:left="0" w:leftChars="0"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建议</w:t>
      </w:r>
    </w:p>
    <w:p>
      <w:pPr>
        <w:numPr>
          <w:ilvl w:val="0"/>
          <w:numId w:val="0"/>
        </w:numPr>
        <w:spacing w:line="540" w:lineRule="exact"/>
        <w:ind w:leftChars="181"/>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建立健全管理制度，加强项目建设管理，确保资金合理高效使用。</w:t>
      </w:r>
    </w:p>
    <w:p>
      <w:pPr>
        <w:spacing w:line="540" w:lineRule="exact"/>
        <w:ind w:firstLine="564" w:firstLineChars="181"/>
        <w:rPr>
          <w:rFonts w:hint="eastAsia" w:ascii="仿宋" w:hAnsi="仿宋" w:eastAsia="仿宋"/>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624" w:firstLineChars="200"/>
        <w:rPr>
          <w:rFonts w:hint="eastAsia" w:ascii="仿宋" w:hAnsi="仿宋" w:eastAsia="仿宋"/>
          <w:spacing w:val="-4"/>
          <w:sz w:val="32"/>
          <w:szCs w:val="32"/>
        </w:rPr>
      </w:pPr>
      <w:r>
        <w:rPr>
          <w:rFonts w:hint="eastAsia" w:ascii="仿宋" w:hAnsi="仿宋" w:eastAsia="仿宋"/>
          <w:spacing w:val="-4"/>
          <w:sz w:val="32"/>
          <w:szCs w:val="32"/>
        </w:rPr>
        <w:t>《玛纳斯县财政项目支出绩效自评表》</w:t>
      </w:r>
    </w:p>
    <w:p>
      <w:pPr>
        <w:spacing w:line="540" w:lineRule="exact"/>
        <w:ind w:firstLine="624" w:firstLineChars="200"/>
        <w:rPr>
          <w:rFonts w:hint="eastAsia" w:ascii="仿宋" w:hAnsi="仿宋" w:eastAsia="仿宋"/>
          <w:spacing w:val="-4"/>
          <w:sz w:val="32"/>
          <w:szCs w:val="32"/>
        </w:rPr>
      </w:pPr>
    </w:p>
    <w:p>
      <w:pPr>
        <w:spacing w:line="540" w:lineRule="exact"/>
        <w:ind w:firstLine="624" w:firstLineChars="200"/>
        <w:rPr>
          <w:rFonts w:hint="eastAsia" w:ascii="仿宋" w:hAnsi="仿宋" w:eastAsia="仿宋"/>
          <w:spacing w:val="-4"/>
          <w:sz w:val="32"/>
          <w:szCs w:val="32"/>
        </w:rPr>
      </w:pPr>
    </w:p>
    <w:p>
      <w:pPr>
        <w:spacing w:line="540" w:lineRule="exact"/>
        <w:ind w:firstLine="624" w:firstLineChars="200"/>
        <w:rPr>
          <w:rFonts w:hint="eastAsia" w:ascii="仿宋" w:hAnsi="仿宋" w:eastAsia="仿宋"/>
          <w:spacing w:val="-4"/>
          <w:sz w:val="32"/>
          <w:szCs w:val="32"/>
        </w:rPr>
      </w:pPr>
    </w:p>
    <w:p>
      <w:pPr>
        <w:spacing w:line="540" w:lineRule="exact"/>
        <w:ind w:firstLine="624" w:firstLineChars="200"/>
        <w:rPr>
          <w:rFonts w:hint="eastAsia" w:ascii="仿宋" w:hAnsi="仿宋" w:eastAsia="仿宋"/>
          <w:spacing w:val="-4"/>
          <w:sz w:val="32"/>
          <w:szCs w:val="32"/>
        </w:rPr>
      </w:pPr>
    </w:p>
    <w:p>
      <w:pPr>
        <w:spacing w:line="540" w:lineRule="exact"/>
        <w:ind w:firstLine="624" w:firstLineChars="200"/>
        <w:rPr>
          <w:rFonts w:hint="eastAsia" w:ascii="仿宋" w:hAnsi="仿宋" w:eastAsia="仿宋"/>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1681"/>
        <w:gridCol w:w="1379"/>
        <w:gridCol w:w="2260"/>
      </w:tblGrid>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681"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79"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一体化作战平台相关设备资金</w:t>
            </w: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rPr>
              <w:t xml:space="preserve"> 执行数：</w:t>
            </w:r>
            <w:r>
              <w:rPr>
                <w:rFonts w:hint="eastAsia" w:ascii="宋体" w:hAnsi="宋体" w:cs="宋体"/>
                <w:kern w:val="0"/>
                <w:sz w:val="24"/>
                <w:lang w:val="en-US" w:eastAsia="zh-CN"/>
              </w:rPr>
              <w:t>237</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237.00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237.00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5001"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3639"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001"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提高公安各办案部门工作效率，增强队伍实战能力，全面提升公安工作现代化水平，从而更好的维护稳定和长治久安，减少犯罪率，预防重大事故发生。</w:t>
            </w:r>
          </w:p>
        </w:tc>
        <w:tc>
          <w:tcPr>
            <w:tcW w:w="3639"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提高公安各办案部门工作效率，增强队伍实战能力，全面提升公安工作现代化水平，从而更好的维护稳定和长治久安，减少犯罪率，预防重大事故发生。</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001"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639"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001"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639"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全年支付金额</w:t>
            </w: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237</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符合公安办公工作环境要求</w:t>
            </w: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资金执行率</w:t>
            </w: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ind w:firstLine="240" w:firstLineChars="100"/>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上级专项资金金额</w:t>
            </w: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237</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237</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充分发挥公安职能，维护社会稳定</w:t>
            </w: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改善办公环境，方便群众办事，</w:t>
            </w: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提高</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提高</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社会面防控</w:t>
            </w: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230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1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_GBK">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CB0802"/>
    <w:multiLevelType w:val="singleLevel"/>
    <w:tmpl w:val="87CB0802"/>
    <w:lvl w:ilvl="0" w:tentative="0">
      <w:start w:val="2"/>
      <w:numFmt w:val="decimal"/>
      <w:suff w:val="nothing"/>
      <w:lvlText w:val="%1、"/>
      <w:lvlJc w:val="left"/>
    </w:lvl>
  </w:abstractNum>
  <w:abstractNum w:abstractNumId="1">
    <w:nsid w:val="D053CEAB"/>
    <w:multiLevelType w:val="singleLevel"/>
    <w:tmpl w:val="D053CEAB"/>
    <w:lvl w:ilvl="0" w:tentative="0">
      <w:start w:val="3"/>
      <w:numFmt w:val="chineseCounting"/>
      <w:suff w:val="nothing"/>
      <w:lvlText w:val="（%1）"/>
      <w:lvlJc w:val="left"/>
      <w:rPr>
        <w:rFonts w:hint="eastAsia"/>
      </w:rPr>
    </w:lvl>
  </w:abstractNum>
  <w:abstractNum w:abstractNumId="2">
    <w:nsid w:val="5D0FB1CA"/>
    <w:multiLevelType w:val="singleLevel"/>
    <w:tmpl w:val="5D0FB1CA"/>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B63E1"/>
    <w:rsid w:val="000E7402"/>
    <w:rsid w:val="00121AE4"/>
    <w:rsid w:val="00146AAD"/>
    <w:rsid w:val="001B3A40"/>
    <w:rsid w:val="002977E8"/>
    <w:rsid w:val="003337E0"/>
    <w:rsid w:val="00364E0B"/>
    <w:rsid w:val="003C18BC"/>
    <w:rsid w:val="004366A8"/>
    <w:rsid w:val="0044079C"/>
    <w:rsid w:val="00464900"/>
    <w:rsid w:val="004F7EB0"/>
    <w:rsid w:val="00502BA7"/>
    <w:rsid w:val="005162F1"/>
    <w:rsid w:val="00535153"/>
    <w:rsid w:val="00542434"/>
    <w:rsid w:val="00554F82"/>
    <w:rsid w:val="0056390D"/>
    <w:rsid w:val="005719B0"/>
    <w:rsid w:val="005C50AE"/>
    <w:rsid w:val="005D10D6"/>
    <w:rsid w:val="005D1979"/>
    <w:rsid w:val="006F709F"/>
    <w:rsid w:val="00722C22"/>
    <w:rsid w:val="007806A5"/>
    <w:rsid w:val="007A7588"/>
    <w:rsid w:val="007C5E51"/>
    <w:rsid w:val="007D1D4C"/>
    <w:rsid w:val="007F7BED"/>
    <w:rsid w:val="008505F0"/>
    <w:rsid w:val="00855E3A"/>
    <w:rsid w:val="008858F2"/>
    <w:rsid w:val="008D24C5"/>
    <w:rsid w:val="008F7A1D"/>
    <w:rsid w:val="00922CB9"/>
    <w:rsid w:val="00996504"/>
    <w:rsid w:val="009C4E03"/>
    <w:rsid w:val="009E5CD9"/>
    <w:rsid w:val="009F4A8A"/>
    <w:rsid w:val="009F4AB5"/>
    <w:rsid w:val="00A17FC1"/>
    <w:rsid w:val="00A26421"/>
    <w:rsid w:val="00A337BA"/>
    <w:rsid w:val="00A4293B"/>
    <w:rsid w:val="00A67D50"/>
    <w:rsid w:val="00A8691A"/>
    <w:rsid w:val="00AA2202"/>
    <w:rsid w:val="00AC1946"/>
    <w:rsid w:val="00AF2231"/>
    <w:rsid w:val="00B40063"/>
    <w:rsid w:val="00B41F61"/>
    <w:rsid w:val="00BA46E6"/>
    <w:rsid w:val="00BD70BE"/>
    <w:rsid w:val="00C042BC"/>
    <w:rsid w:val="00C56C72"/>
    <w:rsid w:val="00C82D4A"/>
    <w:rsid w:val="00CA6457"/>
    <w:rsid w:val="00CC4FD7"/>
    <w:rsid w:val="00D17F2E"/>
    <w:rsid w:val="00D209D1"/>
    <w:rsid w:val="00D2223F"/>
    <w:rsid w:val="00D30354"/>
    <w:rsid w:val="00D82C00"/>
    <w:rsid w:val="00DF42A0"/>
    <w:rsid w:val="00E0665E"/>
    <w:rsid w:val="00E46C51"/>
    <w:rsid w:val="00E769FE"/>
    <w:rsid w:val="00EA2CBE"/>
    <w:rsid w:val="00EE7710"/>
    <w:rsid w:val="00EF2659"/>
    <w:rsid w:val="00F2607F"/>
    <w:rsid w:val="00F32FEE"/>
    <w:rsid w:val="00F51E2C"/>
    <w:rsid w:val="00FB10BB"/>
    <w:rsid w:val="00FD0AD7"/>
    <w:rsid w:val="03645039"/>
    <w:rsid w:val="03D3243A"/>
    <w:rsid w:val="0B5B4B12"/>
    <w:rsid w:val="0DA62B81"/>
    <w:rsid w:val="14732E9B"/>
    <w:rsid w:val="155D508B"/>
    <w:rsid w:val="193611DD"/>
    <w:rsid w:val="250E09F2"/>
    <w:rsid w:val="25456128"/>
    <w:rsid w:val="27617A52"/>
    <w:rsid w:val="309433A6"/>
    <w:rsid w:val="323F1987"/>
    <w:rsid w:val="334A39CB"/>
    <w:rsid w:val="38B664CE"/>
    <w:rsid w:val="4E7F1B5A"/>
    <w:rsid w:val="52287BA1"/>
    <w:rsid w:val="523C47ED"/>
    <w:rsid w:val="553C40C4"/>
    <w:rsid w:val="5FDC232D"/>
    <w:rsid w:val="60204C80"/>
    <w:rsid w:val="63C42FF6"/>
    <w:rsid w:val="6E5A6344"/>
    <w:rsid w:val="75DD33FF"/>
    <w:rsid w:val="7CDD4DC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338</Words>
  <Characters>1933</Characters>
  <Lines>16</Lines>
  <Paragraphs>4</Paragraphs>
  <TotalTime>0</TotalTime>
  <ScaleCrop>false</ScaleCrop>
  <LinksUpToDate>false</LinksUpToDate>
  <CharactersWithSpaces>2267</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2019-10-25T11:18:21Z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