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tabs>
          <w:tab w:val="left" w:pos="5514"/>
        </w:tabs>
        <w:spacing w:line="540" w:lineRule="exact"/>
        <w:jc w:val="left"/>
        <w:rPr>
          <w:rFonts w:hint="eastAsia" w:hAnsi="宋体" w:eastAsia="仿宋_GB2312" w:cs="宋体"/>
          <w:kern w:val="0"/>
          <w:sz w:val="30"/>
          <w:szCs w:val="30"/>
          <w:lang w:eastAsia="zh-CN"/>
        </w:rPr>
      </w:pPr>
      <w:r>
        <w:rPr>
          <w:rFonts w:hint="eastAsia" w:hAnsi="宋体" w:eastAsia="仿宋_GB2312" w:cs="宋体"/>
          <w:kern w:val="0"/>
          <w:sz w:val="30"/>
          <w:szCs w:val="30"/>
          <w:lang w:eastAsia="zh-CN"/>
        </w:rPr>
        <w:tab/>
      </w:r>
      <w:bookmarkStart w:id="0" w:name="_GoBack"/>
      <w:bookmarkEnd w:id="0"/>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 xml:space="preserve"> 项目名称：清水河派出所综合布线、技防设备和讯问系统购置资金</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实施单位（公章）：玛纳斯县公安局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int="eastAsia"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w:t>
      </w:r>
      <w:r>
        <w:rPr>
          <w:rFonts w:hint="eastAsia" w:hAnsi="宋体" w:eastAsia="仿宋_GB2312" w:cs="宋体"/>
          <w:kern w:val="0"/>
          <w:sz w:val="36"/>
          <w:szCs w:val="36"/>
        </w:rPr>
        <w:t>9年1月15日</w:t>
      </w:r>
    </w:p>
    <w:p>
      <w:pPr>
        <w:spacing w:line="540" w:lineRule="exact"/>
        <w:rPr>
          <w:rStyle w:val="19"/>
          <w:rFonts w:hint="eastAsia" w:ascii="黑体" w:hAnsi="黑体" w:eastAsia="黑体"/>
          <w:b w:val="0"/>
          <w:spacing w:val="-4"/>
          <w:sz w:val="32"/>
          <w:szCs w:val="32"/>
        </w:rPr>
      </w:pPr>
    </w:p>
    <w:p>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主要职能：（1）、保持严打高压，继续深化对敌斗争；（2）、坚持多措并举，强化社会治安防控；（3）、坚持综合施策，强化行政服务管理；（4）、深化四项建设，打牢公安基层基础</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机构情况：我单位机构数1个、共有职能部门30个。</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（二）项目预算绩效目标设定情况</w:t>
      </w:r>
    </w:p>
    <w:p>
      <w:pPr>
        <w:spacing w:line="540" w:lineRule="exact"/>
        <w:ind w:firstLine="564" w:firstLineChars="181"/>
        <w:rPr>
          <w:rFonts w:hint="eastAsia" w:ascii="仿宋" w:hAnsi="仿宋" w:eastAsia="仿宋"/>
          <w:spacing w:val="-4"/>
          <w:sz w:val="32"/>
          <w:szCs w:val="32"/>
        </w:rPr>
      </w:pPr>
      <w:r>
        <w:rPr>
          <w:rStyle w:val="19"/>
          <w:rFonts w:hint="eastAsia" w:ascii="仿宋" w:hAnsi="仿宋" w:eastAsia="仿宋"/>
          <w:b w:val="0"/>
          <w:spacing w:val="-4"/>
          <w:sz w:val="32"/>
          <w:szCs w:val="32"/>
        </w:rPr>
        <w:t>预期目标及阶段性目标</w:t>
      </w:r>
      <w:r>
        <w:rPr>
          <w:rStyle w:val="19"/>
          <w:rFonts w:hint="eastAsia" w:ascii="仿宋" w:hAnsi="仿宋" w:eastAsia="仿宋"/>
          <w:b w:val="0"/>
          <w:spacing w:val="-4"/>
          <w:sz w:val="32"/>
          <w:szCs w:val="32"/>
          <w:lang w:eastAsia="zh-CN"/>
        </w:rPr>
        <w:t>：提高公安各办案部门工作效率，增强队伍实战能力，全面提升公安工作现代化水平，从而更好的维护稳定和长治久安，减少犯罪率，预防重大事故发生。</w:t>
      </w:r>
    </w:p>
    <w:p>
      <w:pPr>
        <w:spacing w:line="540" w:lineRule="exact"/>
        <w:ind w:firstLine="564" w:firstLineChars="181"/>
        <w:rPr>
          <w:rFonts w:hint="eastAsia" w:ascii="仿宋" w:hAnsi="仿宋" w:eastAsia="仿宋"/>
          <w:spacing w:val="-4"/>
          <w:sz w:val="32"/>
          <w:szCs w:val="32"/>
        </w:rPr>
      </w:pPr>
      <w:r>
        <w:rPr>
          <w:rStyle w:val="19"/>
          <w:rFonts w:hint="eastAsia" w:ascii="仿宋" w:hAnsi="仿宋" w:eastAsia="仿宋"/>
          <w:b w:val="0"/>
          <w:spacing w:val="-4"/>
          <w:sz w:val="32"/>
          <w:szCs w:val="32"/>
        </w:rPr>
        <w:t>项目基本性质、用途和主要内容、涉及范围</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highlight w:val="none"/>
          <w:lang w:val="en-US" w:eastAsia="zh-CN"/>
        </w:rPr>
        <w:t>本项目共设置一级指标3个、二级指标9个、三级指标9个指标。三级指标可量化8个，占比88%。</w:t>
      </w:r>
      <w:r>
        <w:rPr>
          <w:rFonts w:hint="eastAsia" w:ascii="仿宋" w:hAnsi="仿宋" w:eastAsia="仿宋"/>
          <w:spacing w:val="-4"/>
          <w:sz w:val="32"/>
          <w:szCs w:val="32"/>
        </w:rPr>
        <w:t>经费主要用于我局购置公安网络信息专用设备。</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line="540" w:lineRule="exact"/>
        <w:ind w:firstLine="564" w:firstLineChars="181"/>
        <w:rPr>
          <w:rFonts w:hint="eastAsia" w:ascii="仿宋" w:hAnsi="仿宋" w:eastAsia="仿宋"/>
          <w:spacing w:val="-4"/>
          <w:sz w:val="32"/>
          <w:szCs w:val="32"/>
        </w:rPr>
      </w:pPr>
      <w:r>
        <w:rPr>
          <w:rStyle w:val="19"/>
          <w:rFonts w:hint="eastAsia" w:ascii="仿宋" w:hAnsi="仿宋" w:eastAsia="仿宋"/>
          <w:b w:val="0"/>
          <w:spacing w:val="-4"/>
          <w:sz w:val="32"/>
          <w:szCs w:val="32"/>
          <w:lang w:eastAsia="zh-CN"/>
        </w:rPr>
        <w:t>玛纳斯县公安局</w:t>
      </w:r>
      <w:r>
        <w:rPr>
          <w:rFonts w:hint="eastAsia" w:ascii="仿宋" w:hAnsi="仿宋" w:eastAsia="仿宋"/>
          <w:spacing w:val="-4"/>
          <w:sz w:val="32"/>
          <w:szCs w:val="32"/>
        </w:rPr>
        <w:t>清水河派出所综合布线、技防设备和讯问系统</w:t>
      </w:r>
      <w:r>
        <w:rPr>
          <w:rStyle w:val="19"/>
          <w:rFonts w:hint="eastAsia" w:ascii="仿宋" w:hAnsi="仿宋" w:eastAsia="仿宋"/>
          <w:b w:val="0"/>
          <w:spacing w:val="-4"/>
          <w:sz w:val="32"/>
          <w:szCs w:val="32"/>
          <w:lang w:eastAsia="zh-CN"/>
        </w:rPr>
        <w:t>项目</w:t>
      </w:r>
      <w:r>
        <w:rPr>
          <w:rStyle w:val="19"/>
          <w:rFonts w:hint="eastAsia" w:ascii="仿宋" w:hAnsi="仿宋" w:eastAsia="仿宋"/>
          <w:b w:val="0"/>
          <w:spacing w:val="-4"/>
          <w:sz w:val="32"/>
          <w:szCs w:val="32"/>
          <w:lang w:val="en-US" w:eastAsia="zh-CN"/>
        </w:rPr>
        <w:t>2018年安排总金额49万元。项目资金为</w:t>
      </w:r>
      <w:r>
        <w:rPr>
          <w:rStyle w:val="19"/>
          <w:rFonts w:hint="eastAsia" w:ascii="仿宋" w:hAnsi="仿宋" w:eastAsia="仿宋"/>
          <w:b w:val="0"/>
          <w:bCs/>
          <w:spacing w:val="-4"/>
          <w:sz w:val="32"/>
          <w:szCs w:val="32"/>
          <w:lang w:val="en-US" w:eastAsia="zh-CN"/>
        </w:rPr>
        <w:t>上级</w:t>
      </w:r>
      <w:r>
        <w:rPr>
          <w:rStyle w:val="19"/>
          <w:rFonts w:hint="eastAsia" w:ascii="仿宋" w:hAnsi="仿宋" w:eastAsia="仿宋"/>
          <w:b w:val="0"/>
          <w:bCs/>
          <w:spacing w:val="-4"/>
          <w:sz w:val="32"/>
          <w:szCs w:val="32"/>
          <w:lang w:eastAsia="zh-CN"/>
        </w:rPr>
        <w:t>财政安排</w:t>
      </w:r>
      <w:r>
        <w:rPr>
          <w:rStyle w:val="19"/>
          <w:rFonts w:hint="eastAsia" w:ascii="仿宋" w:hAnsi="仿宋" w:eastAsia="仿宋"/>
          <w:b w:val="0"/>
          <w:bCs/>
          <w:spacing w:val="-4"/>
          <w:sz w:val="32"/>
          <w:szCs w:val="32"/>
          <w:lang w:val="en-US" w:eastAsia="zh-CN"/>
        </w:rPr>
        <w:t>49万元</w:t>
      </w:r>
      <w:r>
        <w:rPr>
          <w:rFonts w:hint="eastAsia" w:ascii="仿宋" w:hAnsi="仿宋" w:eastAsia="仿宋"/>
          <w:spacing w:val="-4"/>
          <w:sz w:val="32"/>
          <w:szCs w:val="32"/>
        </w:rPr>
        <w:t>由我局向县财政局申请资金，</w:t>
      </w:r>
      <w:r>
        <w:rPr>
          <w:rStyle w:val="19"/>
          <w:rFonts w:hint="eastAsia" w:ascii="仿宋" w:hAnsi="仿宋" w:eastAsia="仿宋"/>
          <w:b w:val="0"/>
          <w:spacing w:val="-4"/>
          <w:sz w:val="32"/>
          <w:szCs w:val="32"/>
          <w:lang w:val="en-US" w:eastAsia="zh-CN"/>
        </w:rPr>
        <w:t>资金已全部到位，执行率100%。</w:t>
      </w:r>
      <w:r>
        <w:rPr>
          <w:rFonts w:hint="eastAsia" w:ascii="仿宋" w:hAnsi="仿宋" w:eastAsia="仿宋"/>
          <w:spacing w:val="-4"/>
          <w:sz w:val="32"/>
          <w:szCs w:val="32"/>
        </w:rPr>
        <w:t>县财经领导会议小组同意后办理采购手续，相关手续齐全后向财政局申情资金，做直接支付支付给供货方。</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eastAsia="zh-CN"/>
        </w:rPr>
        <w:t>本项目资金总计</w:t>
      </w:r>
      <w:r>
        <w:rPr>
          <w:rStyle w:val="19"/>
          <w:rFonts w:hint="eastAsia" w:ascii="仿宋" w:hAnsi="仿宋" w:eastAsia="仿宋"/>
          <w:b w:val="0"/>
          <w:spacing w:val="-4"/>
          <w:sz w:val="32"/>
          <w:szCs w:val="32"/>
          <w:lang w:val="en-US" w:eastAsia="zh-CN"/>
        </w:rPr>
        <w:t>49万元，</w:t>
      </w:r>
      <w:r>
        <w:rPr>
          <w:rStyle w:val="19"/>
          <w:rFonts w:hint="eastAsia" w:ascii="仿宋" w:hAnsi="仿宋" w:eastAsia="仿宋"/>
          <w:b w:val="0"/>
          <w:spacing w:val="-4"/>
          <w:sz w:val="32"/>
          <w:szCs w:val="32"/>
        </w:rPr>
        <w:t>预算执行率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rPr>
        <w:t>%，项目资金</w:t>
      </w:r>
      <w:r>
        <w:rPr>
          <w:rFonts w:hint="eastAsia" w:ascii="仿宋" w:hAnsi="仿宋" w:eastAsia="仿宋"/>
          <w:spacing w:val="-4"/>
          <w:sz w:val="32"/>
          <w:szCs w:val="32"/>
        </w:rPr>
        <w:t>清水河派出所综合布线、技防设备和讯问系统</w:t>
      </w:r>
      <w:r>
        <w:rPr>
          <w:rStyle w:val="19"/>
          <w:rFonts w:hint="eastAsia" w:ascii="仿宋" w:hAnsi="仿宋" w:eastAsia="仿宋"/>
          <w:b w:val="0"/>
          <w:spacing w:val="-4"/>
          <w:sz w:val="32"/>
          <w:szCs w:val="32"/>
        </w:rPr>
        <w:t>核实相关设备资金主要用购置专用设备共计</w:t>
      </w:r>
      <w:r>
        <w:rPr>
          <w:rStyle w:val="19"/>
          <w:rFonts w:hint="eastAsia" w:ascii="仿宋" w:hAnsi="仿宋" w:eastAsia="仿宋"/>
          <w:b w:val="0"/>
          <w:spacing w:val="-4"/>
          <w:sz w:val="32"/>
          <w:szCs w:val="32"/>
          <w:lang w:val="en-US" w:eastAsia="zh-CN"/>
        </w:rPr>
        <w:t>49</w:t>
      </w:r>
      <w:r>
        <w:rPr>
          <w:rStyle w:val="19"/>
          <w:rFonts w:hint="eastAsia" w:ascii="仿宋" w:hAnsi="仿宋" w:eastAsia="仿宋"/>
          <w:b w:val="0"/>
          <w:spacing w:val="-4"/>
          <w:sz w:val="32"/>
          <w:szCs w:val="32"/>
        </w:rPr>
        <w:t>万元。</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line="540" w:lineRule="exact"/>
        <w:ind w:firstLine="564" w:firstLineChars="181"/>
        <w:rPr>
          <w:rFonts w:hint="eastAsia" w:ascii="仿宋" w:hAnsi="仿宋" w:eastAsia="仿宋"/>
          <w:spacing w:val="-4"/>
          <w:sz w:val="32"/>
          <w:szCs w:val="32"/>
        </w:rPr>
      </w:pPr>
      <w:r>
        <w:rPr>
          <w:rStyle w:val="19"/>
          <w:rFonts w:hint="eastAsia" w:ascii="仿宋" w:hAnsi="仿宋" w:eastAsia="仿宋"/>
          <w:b w:val="0"/>
          <w:spacing w:val="-4"/>
          <w:sz w:val="32"/>
          <w:szCs w:val="32"/>
        </w:rPr>
        <w:t>管理制度、办法的制定及执行</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本项目支出符合玛纳斯县</w:t>
      </w:r>
      <w:r>
        <w:rPr>
          <w:rStyle w:val="19"/>
          <w:rFonts w:hint="eastAsia" w:ascii="仿宋" w:hAnsi="仿宋" w:eastAsia="仿宋"/>
          <w:b w:val="0"/>
          <w:spacing w:val="-4"/>
          <w:sz w:val="32"/>
          <w:szCs w:val="32"/>
          <w:lang w:eastAsia="zh-CN"/>
        </w:rPr>
        <w:t>公安局</w:t>
      </w:r>
      <w:r>
        <w:rPr>
          <w:rStyle w:val="19"/>
          <w:rFonts w:hint="eastAsia" w:ascii="仿宋" w:hAnsi="仿宋" w:eastAsia="仿宋"/>
          <w:b w:val="0"/>
          <w:spacing w:val="-4"/>
          <w:sz w:val="32"/>
          <w:szCs w:val="32"/>
        </w:rPr>
        <w:t>相关财务管理制度</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我局根据上级主管部门要求项目资金的使用严格按照各项规章制度执行运转</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财务收支审批制度、财务稽核制度、会计主管岗位职责等制度规定</w:t>
      </w:r>
      <w:r>
        <w:rPr>
          <w:rStyle w:val="19"/>
          <w:rFonts w:hint="eastAsia" w:ascii="仿宋" w:hAnsi="仿宋" w:eastAsia="仿宋"/>
          <w:b w:val="0"/>
          <w:spacing w:val="-4"/>
          <w:sz w:val="32"/>
          <w:szCs w:val="32"/>
          <w:lang w:eastAsia="zh-CN"/>
        </w:rPr>
        <w:t>，按照谁主管、谁负责的原则，明确项目管理和实施的具体责任</w:t>
      </w:r>
      <w:r>
        <w:rPr>
          <w:rFonts w:hint="eastAsia" w:ascii="仿宋" w:hAnsi="仿宋" w:eastAsia="仿宋"/>
          <w:spacing w:val="-4"/>
          <w:sz w:val="32"/>
          <w:szCs w:val="32"/>
        </w:rPr>
        <w:t>项目资金由县财政局统一管理，由我局对签订合同及招标相关参数及质量进行监管，支付时我局进行五级审批后，交由财政局支付。</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项目投标情况：</w:t>
      </w:r>
      <w:r>
        <w:rPr>
          <w:rStyle w:val="19"/>
          <w:rFonts w:hint="eastAsia" w:ascii="仿宋" w:hAnsi="仿宋" w:eastAsia="仿宋"/>
          <w:b w:val="0"/>
          <w:spacing w:val="-4"/>
          <w:sz w:val="32"/>
          <w:szCs w:val="32"/>
          <w:lang w:val="en-US" w:eastAsia="zh-CN"/>
        </w:rPr>
        <w:t>实际项</w:t>
      </w:r>
      <w:r>
        <w:rPr>
          <w:rStyle w:val="19"/>
          <w:rFonts w:hint="eastAsia" w:ascii="仿宋" w:hAnsi="仿宋" w:eastAsia="仿宋"/>
          <w:b w:val="0"/>
          <w:spacing w:val="-4"/>
          <w:sz w:val="32"/>
          <w:szCs w:val="32"/>
          <w:lang w:eastAsia="zh-CN"/>
        </w:rPr>
        <w:t>目总投入</w:t>
      </w:r>
      <w:r>
        <w:rPr>
          <w:rStyle w:val="19"/>
          <w:rFonts w:hint="eastAsia" w:ascii="仿宋" w:hAnsi="仿宋" w:eastAsia="仿宋"/>
          <w:b w:val="0"/>
          <w:spacing w:val="-4"/>
          <w:sz w:val="32"/>
          <w:szCs w:val="32"/>
          <w:lang w:val="en-US" w:eastAsia="zh-CN"/>
        </w:rPr>
        <w:t>49万，主要用于</w:t>
      </w:r>
      <w:r>
        <w:rPr>
          <w:rStyle w:val="19"/>
          <w:rFonts w:hint="eastAsia" w:ascii="仿宋" w:hAnsi="仿宋" w:eastAsia="仿宋"/>
          <w:b w:val="0"/>
          <w:spacing w:val="-4"/>
          <w:sz w:val="32"/>
          <w:szCs w:val="32"/>
        </w:rPr>
        <w:t>支付</w:t>
      </w:r>
      <w:r>
        <w:rPr>
          <w:rFonts w:hint="eastAsia" w:ascii="仿宋" w:hAnsi="仿宋" w:eastAsia="仿宋"/>
          <w:spacing w:val="-4"/>
          <w:sz w:val="32"/>
          <w:szCs w:val="32"/>
        </w:rPr>
        <w:t>清水河派出所综合布线、技防设备和讯问系统</w:t>
      </w:r>
      <w:r>
        <w:rPr>
          <w:rStyle w:val="19"/>
          <w:rFonts w:hint="eastAsia" w:ascii="仿宋" w:hAnsi="仿宋" w:eastAsia="仿宋"/>
          <w:b w:val="0"/>
          <w:spacing w:val="-4"/>
          <w:sz w:val="32"/>
          <w:szCs w:val="32"/>
        </w:rPr>
        <w:t>实施过程均按照</w:t>
      </w:r>
      <w:r>
        <w:rPr>
          <w:rStyle w:val="19"/>
          <w:rFonts w:hint="eastAsia" w:ascii="仿宋" w:hAnsi="仿宋" w:eastAsia="仿宋"/>
          <w:b w:val="0"/>
          <w:spacing w:val="-4"/>
          <w:sz w:val="32"/>
          <w:szCs w:val="32"/>
          <w:lang w:eastAsia="zh-CN"/>
        </w:rPr>
        <w:t>公安局</w:t>
      </w:r>
      <w:r>
        <w:rPr>
          <w:rStyle w:val="19"/>
          <w:rFonts w:hint="eastAsia" w:ascii="仿宋" w:hAnsi="仿宋" w:eastAsia="仿宋"/>
          <w:b w:val="0"/>
          <w:spacing w:val="-4"/>
          <w:sz w:val="32"/>
          <w:szCs w:val="32"/>
        </w:rPr>
        <w:t>制定的项目管理制度执行。项目资金无调整情况。</w:t>
      </w:r>
      <w:r>
        <w:rPr>
          <w:rFonts w:hint="eastAsia" w:ascii="仿宋" w:hAnsi="仿宋" w:eastAsia="仿宋"/>
          <w:spacing w:val="-4"/>
          <w:sz w:val="32"/>
          <w:szCs w:val="32"/>
        </w:rPr>
        <w:t>项目资金无调整情况。我局资金使用严格执行我局各项规章制度，资金落实到位，不拖欠，不做项目外的其他支出。</w:t>
      </w:r>
    </w:p>
    <w:p>
      <w:pPr>
        <w:spacing w:line="540" w:lineRule="exact"/>
        <w:ind w:firstLine="567" w:firstLineChars="181"/>
        <w:rPr>
          <w:rStyle w:val="19"/>
          <w:rFonts w:ascii="仿宋" w:hAnsi="仿宋" w:eastAsia="仿宋"/>
          <w:b w:val="0"/>
          <w:spacing w:val="-4"/>
          <w:sz w:val="32"/>
          <w:szCs w:val="32"/>
        </w:rPr>
      </w:pPr>
      <w:r>
        <w:rPr>
          <w:rStyle w:val="19"/>
          <w:rFonts w:hint="eastAsia" w:ascii="楷体" w:hAnsi="楷体" w:eastAsia="楷体"/>
          <w:spacing w:val="-4"/>
          <w:sz w:val="32"/>
          <w:szCs w:val="32"/>
        </w:rPr>
        <w:t>（二）项目管理情况分析</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一、</w:t>
      </w:r>
      <w:r>
        <w:rPr>
          <w:rStyle w:val="19"/>
          <w:rFonts w:hint="eastAsia" w:ascii="仿宋" w:hAnsi="仿宋" w:eastAsia="仿宋"/>
          <w:b w:val="0"/>
          <w:spacing w:val="-4"/>
          <w:sz w:val="32"/>
          <w:szCs w:val="32"/>
        </w:rPr>
        <w:t>项目管理制度建设：</w:t>
      </w:r>
      <w:r>
        <w:rPr>
          <w:rFonts w:hint="eastAsia" w:ascii="仿宋" w:hAnsi="仿宋" w:eastAsia="仿宋"/>
          <w:spacing w:val="-4"/>
          <w:sz w:val="32"/>
          <w:szCs w:val="32"/>
        </w:rPr>
        <w:t>以努力用好每一分钱，办好每一件事的为原则，不断提高各项经费的管理水平和使用效益。按照公安厅及上级部门制订的相关财务制度，我局也根据单位的实际情况制定了切实可行的《财务管理制度》、《财务岗位职责》</w:t>
      </w:r>
      <w:r>
        <w:rPr>
          <w:rFonts w:hint="eastAsia" w:ascii="仿宋" w:hAnsi="仿宋" w:eastAsia="仿宋"/>
          <w:spacing w:val="-4"/>
          <w:sz w:val="32"/>
          <w:szCs w:val="32"/>
          <w:lang w:eastAsia="zh-CN"/>
        </w:rPr>
        <w:t>、</w:t>
      </w:r>
      <w:r>
        <w:rPr>
          <w:rFonts w:hint="eastAsia" w:ascii="仿宋" w:hAnsi="仿宋" w:eastAsia="仿宋"/>
          <w:spacing w:val="-4"/>
          <w:sz w:val="32"/>
          <w:szCs w:val="32"/>
        </w:rPr>
        <w:t>《差旅费报销制度》等会计制度，及时学习更新相关规定，根据内部管理的需要，明确了工作岗位职责和权限。</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二、</w:t>
      </w:r>
      <w:r>
        <w:rPr>
          <w:rStyle w:val="19"/>
          <w:rFonts w:hint="eastAsia" w:ascii="仿宋" w:hAnsi="仿宋" w:eastAsia="仿宋"/>
          <w:b w:val="0"/>
          <w:spacing w:val="-4"/>
          <w:sz w:val="32"/>
          <w:szCs w:val="32"/>
        </w:rPr>
        <w:t>项目管理制度建设：</w:t>
      </w:r>
      <w:r>
        <w:rPr>
          <w:rFonts w:hint="eastAsia" w:ascii="仿宋" w:hAnsi="仿宋" w:eastAsia="仿宋"/>
          <w:spacing w:val="-4"/>
          <w:sz w:val="32"/>
          <w:szCs w:val="32"/>
        </w:rPr>
        <w:t>我局先后制定了支出管理制度、专项资金管理制度以及稽核制度，单位项目资金使用严格执行“三重一大”管理制度，对单位重大支出上会讨论，经办人具体实施，主管领导监督，进行层层监督管理。把资金的使用落到实处。我局项目支出的管理贯穿项目的全过程，从项目的设计、施工、技术、相关设施的配套、专项资金的管理使用，到项目的竣工验收。按照我局纪检督查部门的要求，采用询问、参与、检查、调查等方式进行。我局对在工作实施中不按规定办事、玩忽职守、弄虚作假、违反有关廉政建设规定的行为，都要严格查处。</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本项目共设置一级指标3个、二级指标9个、三级指标8个指标。</w:t>
      </w:r>
      <w:r>
        <w:rPr>
          <w:rStyle w:val="19"/>
          <w:rFonts w:hint="eastAsia" w:ascii="仿宋" w:hAnsi="仿宋" w:eastAsia="仿宋"/>
          <w:b w:val="0"/>
          <w:spacing w:val="-4"/>
          <w:sz w:val="32"/>
          <w:szCs w:val="32"/>
          <w:lang w:eastAsia="zh-CN"/>
        </w:rPr>
        <w:t>其中已完成三级指标</w:t>
      </w:r>
      <w:r>
        <w:rPr>
          <w:rStyle w:val="19"/>
          <w:rFonts w:hint="eastAsia" w:ascii="仿宋" w:hAnsi="仿宋" w:eastAsia="仿宋"/>
          <w:b w:val="0"/>
          <w:spacing w:val="-4"/>
          <w:sz w:val="32"/>
          <w:szCs w:val="32"/>
          <w:lang w:val="en-US" w:eastAsia="zh-CN"/>
        </w:rPr>
        <w:t>8</w:t>
      </w:r>
      <w:r>
        <w:rPr>
          <w:rStyle w:val="19"/>
          <w:rFonts w:hint="eastAsia" w:ascii="仿宋" w:hAnsi="仿宋" w:eastAsia="仿宋"/>
          <w:b w:val="0"/>
          <w:spacing w:val="-4"/>
          <w:sz w:val="32"/>
          <w:szCs w:val="32"/>
          <w:lang w:eastAsia="zh-CN"/>
        </w:rPr>
        <w:t>个，指标完成率为</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numPr>
          <w:ilvl w:val="0"/>
          <w:numId w:val="1"/>
        </w:numPr>
        <w:kinsoku/>
        <w:wordWrap/>
        <w:overflowPunct/>
        <w:topLinePunct w:val="0"/>
        <w:autoSpaceDE/>
        <w:autoSpaceDN/>
        <w:bidi w:val="0"/>
        <w:spacing w:after="0" w:line="540" w:lineRule="exact"/>
        <w:ind w:firstLine="567" w:firstLineChars="181"/>
        <w:textAlignment w:val="auto"/>
        <w:outlineLvl w:val="9"/>
        <w:rPr>
          <w:rStyle w:val="19"/>
          <w:rFonts w:hint="eastAsia" w:ascii="仿宋" w:hAnsi="仿宋" w:eastAsia="仿宋"/>
          <w:b/>
          <w:bCs w:val="0"/>
          <w:spacing w:val="-4"/>
          <w:sz w:val="32"/>
          <w:szCs w:val="32"/>
          <w:highlight w:val="none"/>
        </w:rPr>
      </w:pPr>
      <w:r>
        <w:rPr>
          <w:rStyle w:val="19"/>
          <w:rFonts w:hint="eastAsia" w:ascii="仿宋" w:hAnsi="仿宋" w:eastAsia="仿宋"/>
          <w:b/>
          <w:bCs w:val="0"/>
          <w:spacing w:val="-4"/>
          <w:sz w:val="32"/>
          <w:szCs w:val="32"/>
          <w:highlight w:val="none"/>
        </w:rPr>
        <w:t>产出指标完成情况分析。</w:t>
      </w:r>
    </w:p>
    <w:p>
      <w:pPr>
        <w:keepNext w:val="0"/>
        <w:keepLines w:val="0"/>
        <w:pageBreakBefore w:val="0"/>
        <w:widowControl w:val="0"/>
        <w:numPr>
          <w:ilvl w:val="0"/>
          <w:numId w:val="2"/>
        </w:numPr>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eastAsia="zh-CN"/>
        </w:rPr>
        <w:t>项目完成数量。项目投资金额</w:t>
      </w:r>
      <w:r>
        <w:rPr>
          <w:rStyle w:val="19"/>
          <w:rFonts w:hint="eastAsia" w:ascii="仿宋" w:hAnsi="仿宋" w:eastAsia="仿宋"/>
          <w:b w:val="0"/>
          <w:spacing w:val="-4"/>
          <w:sz w:val="32"/>
          <w:szCs w:val="32"/>
          <w:lang w:val="en-US" w:eastAsia="zh-CN"/>
        </w:rPr>
        <w:t>49万。</w:t>
      </w:r>
    </w:p>
    <w:p>
      <w:pPr>
        <w:keepNext w:val="0"/>
        <w:keepLines w:val="0"/>
        <w:pageBreakBefore w:val="0"/>
        <w:widowControl w:val="0"/>
        <w:numPr>
          <w:ilvl w:val="0"/>
          <w:numId w:val="2"/>
        </w:numPr>
        <w:kinsoku/>
        <w:wordWrap/>
        <w:overflowPunct/>
        <w:topLinePunct w:val="0"/>
        <w:autoSpaceDE/>
        <w:autoSpaceDN/>
        <w:bidi w:val="0"/>
        <w:spacing w:after="0" w:line="540" w:lineRule="exact"/>
        <w:ind w:firstLine="564" w:firstLineChars="181"/>
        <w:textAlignment w:val="auto"/>
        <w:outlineLvl w:val="9"/>
        <w:rPr>
          <w:rStyle w:val="19"/>
          <w:rFonts w:hint="default" w:ascii="仿宋" w:hAnsi="仿宋" w:eastAsia="仿宋"/>
          <w:b w:val="0"/>
          <w:spacing w:val="-4"/>
          <w:sz w:val="32"/>
          <w:szCs w:val="32"/>
          <w:lang w:val="en-US" w:eastAsia="zh-CN"/>
        </w:rPr>
      </w:pPr>
      <w:r>
        <w:rPr>
          <w:rStyle w:val="19"/>
          <w:rFonts w:hint="eastAsia" w:ascii="仿宋" w:hAnsi="仿宋" w:eastAsia="仿宋"/>
          <w:b w:val="0"/>
          <w:spacing w:val="-4"/>
          <w:sz w:val="32"/>
          <w:szCs w:val="32"/>
          <w:lang w:eastAsia="zh-CN"/>
        </w:rPr>
        <w:t>项目完成质量。提高接警处置效</w:t>
      </w:r>
      <w:r>
        <w:rPr>
          <w:rStyle w:val="19"/>
          <w:rFonts w:hint="eastAsia" w:ascii="仿宋" w:hAnsi="仿宋" w:eastAsia="仿宋"/>
          <w:b w:val="0"/>
          <w:spacing w:val="-4"/>
          <w:sz w:val="32"/>
          <w:szCs w:val="32"/>
          <w:lang w:val="en-US" w:eastAsia="zh-CN"/>
        </w:rPr>
        <w:t>100%。</w:t>
      </w:r>
    </w:p>
    <w:p>
      <w:pPr>
        <w:keepNext w:val="0"/>
        <w:keepLines w:val="0"/>
        <w:pageBreakBefore w:val="0"/>
        <w:widowControl w:val="0"/>
        <w:numPr>
          <w:ilvl w:val="0"/>
          <w:numId w:val="2"/>
        </w:numPr>
        <w:kinsoku/>
        <w:wordWrap/>
        <w:overflowPunct/>
        <w:topLinePunct w:val="0"/>
        <w:autoSpaceDE/>
        <w:autoSpaceDN/>
        <w:bidi w:val="0"/>
        <w:spacing w:after="0" w:line="540" w:lineRule="exact"/>
        <w:ind w:firstLine="564" w:firstLineChars="181"/>
        <w:textAlignment w:val="auto"/>
        <w:outlineLvl w:val="9"/>
        <w:rPr>
          <w:rStyle w:val="19"/>
          <w:rFonts w:hint="default" w:ascii="仿宋" w:hAnsi="仿宋" w:eastAsia="仿宋"/>
          <w:b w:val="0"/>
          <w:spacing w:val="-4"/>
          <w:sz w:val="32"/>
          <w:szCs w:val="32"/>
          <w:lang w:val="en-US" w:eastAsia="zh-CN"/>
        </w:rPr>
      </w:pPr>
      <w:r>
        <w:rPr>
          <w:rStyle w:val="19"/>
          <w:rFonts w:hint="eastAsia" w:ascii="仿宋" w:hAnsi="仿宋" w:eastAsia="仿宋"/>
          <w:b w:val="0"/>
          <w:spacing w:val="-4"/>
          <w:sz w:val="32"/>
          <w:szCs w:val="32"/>
          <w:lang w:eastAsia="zh-CN"/>
        </w:rPr>
        <w:t>项目时效。资金执行率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numPr>
          <w:ilvl w:val="0"/>
          <w:numId w:val="2"/>
        </w:numPr>
        <w:kinsoku/>
        <w:wordWrap/>
        <w:overflowPunct/>
        <w:topLinePunct w:val="0"/>
        <w:autoSpaceDE/>
        <w:autoSpaceDN/>
        <w:bidi w:val="0"/>
        <w:spacing w:after="0" w:line="540" w:lineRule="exact"/>
        <w:ind w:firstLine="564" w:firstLineChars="181"/>
        <w:textAlignment w:val="auto"/>
        <w:outlineLvl w:val="9"/>
        <w:rPr>
          <w:rStyle w:val="19"/>
          <w:rFonts w:hint="default" w:ascii="仿宋" w:hAnsi="仿宋" w:eastAsia="仿宋"/>
          <w:b w:val="0"/>
          <w:spacing w:val="-4"/>
          <w:sz w:val="32"/>
          <w:szCs w:val="32"/>
          <w:lang w:val="en-US" w:eastAsia="zh-CN"/>
        </w:rPr>
      </w:pPr>
      <w:r>
        <w:rPr>
          <w:rStyle w:val="19"/>
          <w:rFonts w:hint="eastAsia" w:ascii="仿宋" w:hAnsi="仿宋" w:eastAsia="仿宋"/>
          <w:b w:val="0"/>
          <w:spacing w:val="-4"/>
          <w:sz w:val="32"/>
          <w:szCs w:val="32"/>
          <w:lang w:eastAsia="zh-CN"/>
        </w:rPr>
        <w:t>项目成本</w:t>
      </w:r>
      <w:r>
        <w:rPr>
          <w:rFonts w:hint="eastAsia" w:ascii="仿宋" w:hAnsi="仿宋" w:eastAsia="仿宋"/>
          <w:spacing w:val="-4"/>
          <w:sz w:val="32"/>
          <w:szCs w:val="32"/>
        </w:rPr>
        <w:t>清水河派出所综合布线、技防设备和讯问</w:t>
      </w:r>
      <w:r>
        <w:rPr>
          <w:rStyle w:val="19"/>
          <w:rFonts w:hint="eastAsia" w:ascii="仿宋" w:hAnsi="仿宋" w:eastAsia="仿宋"/>
          <w:b w:val="0"/>
          <w:spacing w:val="-4"/>
          <w:sz w:val="32"/>
          <w:szCs w:val="32"/>
          <w:lang w:eastAsia="zh-CN"/>
        </w:rPr>
        <w:t>资金投入</w:t>
      </w:r>
      <w:r>
        <w:rPr>
          <w:rStyle w:val="19"/>
          <w:rFonts w:hint="eastAsia" w:ascii="仿宋" w:hAnsi="仿宋" w:eastAsia="仿宋"/>
          <w:b w:val="0"/>
          <w:spacing w:val="-4"/>
          <w:sz w:val="32"/>
          <w:szCs w:val="32"/>
          <w:lang w:val="en-US" w:eastAsia="zh-CN"/>
        </w:rPr>
        <w:t>49万，</w:t>
      </w:r>
      <w:r>
        <w:rPr>
          <w:rStyle w:val="19"/>
          <w:rFonts w:hint="eastAsia" w:ascii="仿宋" w:hAnsi="仿宋" w:eastAsia="仿宋"/>
          <w:b w:val="0"/>
          <w:spacing w:val="-4"/>
          <w:sz w:val="32"/>
          <w:szCs w:val="32"/>
          <w:lang w:eastAsia="zh-CN"/>
        </w:rPr>
        <w:t>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Style w:val="19"/>
          <w:rFonts w:hint="eastAsia" w:ascii="方正仿宋_GBK" w:hAnsi="方正仿宋_GBK" w:eastAsia="方正仿宋_GBK" w:cs="方正仿宋_GBK"/>
          <w:b/>
          <w:bCs/>
          <w:sz w:val="32"/>
          <w:szCs w:val="32"/>
        </w:rPr>
        <w:t>2</w:t>
      </w:r>
      <w:r>
        <w:rPr>
          <w:rStyle w:val="19"/>
          <w:rFonts w:hint="eastAsia" w:ascii="方正仿宋_GBK" w:hAnsi="方正仿宋_GBK" w:eastAsia="方正仿宋_GBK" w:cs="方正仿宋_GBK"/>
          <w:b/>
          <w:bCs/>
          <w:sz w:val="32"/>
          <w:szCs w:val="32"/>
          <w:lang w:eastAsia="zh-CN"/>
        </w:rPr>
        <w:t>、效益</w:t>
      </w:r>
      <w:r>
        <w:rPr>
          <w:rStyle w:val="19"/>
          <w:rFonts w:hint="eastAsia" w:ascii="方正仿宋_GBK" w:hAnsi="方正仿宋_GBK" w:eastAsia="方正仿宋_GBK" w:cs="方正仿宋_GBK"/>
          <w:b/>
          <w:bCs/>
          <w:sz w:val="32"/>
          <w:szCs w:val="32"/>
        </w:rPr>
        <w:t>指标</w:t>
      </w:r>
      <w:r>
        <w:rPr>
          <w:rStyle w:val="19"/>
          <w:rFonts w:hint="eastAsia" w:ascii="方正仿宋_GBK" w:hAnsi="方正仿宋_GBK" w:eastAsia="方正仿宋_GBK" w:cs="方正仿宋_GBK"/>
          <w:b/>
          <w:bCs/>
          <w:sz w:val="32"/>
          <w:szCs w:val="32"/>
          <w:lang w:eastAsia="zh-CN"/>
        </w:rPr>
        <w:t>完成</w:t>
      </w:r>
      <w:r>
        <w:rPr>
          <w:rStyle w:val="19"/>
          <w:rFonts w:hint="eastAsia" w:ascii="方正仿宋_GBK" w:hAnsi="方正仿宋_GBK" w:eastAsia="方正仿宋_GBK" w:cs="方正仿宋_GBK"/>
          <w:b/>
          <w:bCs/>
          <w:sz w:val="32"/>
          <w:szCs w:val="32"/>
        </w:rPr>
        <w:t>情况分析</w:t>
      </w:r>
    </w:p>
    <w:p>
      <w:pPr>
        <w:spacing w:line="540" w:lineRule="exact"/>
        <w:ind w:firstLine="564" w:firstLineChars="181"/>
        <w:rPr>
          <w:rFonts w:hint="eastAsia" w:ascii="仿宋" w:hAnsi="仿宋" w:eastAsia="仿宋"/>
          <w:spacing w:val="-4"/>
          <w:sz w:val="32"/>
          <w:szCs w:val="32"/>
          <w:lang w:eastAsia="zh-CN"/>
        </w:rPr>
      </w:pPr>
      <w:r>
        <w:rPr>
          <w:rStyle w:val="19"/>
          <w:rFonts w:hint="eastAsia" w:ascii="仿宋" w:hAnsi="仿宋" w:eastAsia="仿宋"/>
          <w:b w:val="0"/>
          <w:color w:val="000000" w:themeColor="text1"/>
          <w:spacing w:val="-4"/>
          <w:sz w:val="32"/>
          <w:szCs w:val="32"/>
          <w:lang w:val="en-US" w:eastAsia="zh-CN"/>
        </w:rPr>
        <w:t xml:space="preserve"> </w:t>
      </w:r>
      <w:r>
        <w:rPr>
          <w:rStyle w:val="19"/>
          <w:rFonts w:hint="eastAsia" w:ascii="方正仿宋_GBK" w:hAnsi="方正仿宋_GBK" w:eastAsia="方正仿宋_GBK" w:cs="方正仿宋_GBK"/>
          <w:b w:val="0"/>
          <w:bCs w:val="0"/>
          <w:sz w:val="32"/>
          <w:szCs w:val="32"/>
          <w:highlight w:val="none"/>
        </w:rPr>
        <w:t>（</w:t>
      </w:r>
      <w:r>
        <w:rPr>
          <w:rFonts w:hint="eastAsia" w:ascii="仿宋" w:hAnsi="仿宋" w:eastAsia="仿宋" w:cs="仿宋"/>
          <w:b w:val="0"/>
          <w:bCs/>
          <w:color w:val="auto"/>
          <w:kern w:val="0"/>
          <w:sz w:val="32"/>
          <w:szCs w:val="32"/>
          <w:lang w:eastAsia="zh-CN"/>
        </w:rPr>
        <w:t>1）项目实施的社会效益指标。</w:t>
      </w:r>
      <w:r>
        <w:rPr>
          <w:rStyle w:val="19"/>
          <w:rFonts w:hint="eastAsia" w:ascii="仿宋" w:hAnsi="仿宋" w:eastAsia="仿宋" w:cs="Times New Roman"/>
          <w:b w:val="0"/>
          <w:color w:val="000000" w:themeColor="text1"/>
          <w:spacing w:val="-4"/>
          <w:sz w:val="32"/>
          <w:szCs w:val="32"/>
          <w:lang w:eastAsia="zh-CN"/>
        </w:rPr>
        <w:t>实战能力，全面提升公安工作现代化水平，从而更好的维护稳定和长治久安，减少犯罪率，预防重大事故发生，</w:t>
      </w:r>
      <w:r>
        <w:rPr>
          <w:rFonts w:hint="eastAsia" w:ascii="仿宋" w:hAnsi="仿宋" w:eastAsia="仿宋"/>
          <w:spacing w:val="-4"/>
          <w:sz w:val="32"/>
          <w:szCs w:val="32"/>
          <w:lang w:val="en-US" w:eastAsia="zh-CN"/>
        </w:rPr>
        <w:t xml:space="preserve"> </w:t>
      </w:r>
      <w:r>
        <w:rPr>
          <w:rFonts w:hint="eastAsia" w:ascii="仿宋" w:hAnsi="仿宋" w:eastAsia="仿宋"/>
          <w:spacing w:val="-4"/>
          <w:sz w:val="32"/>
          <w:szCs w:val="32"/>
        </w:rPr>
        <w:t>为维护社会稳定做出坚实的保障。</w:t>
      </w:r>
      <w:r>
        <w:rPr>
          <w:rFonts w:hint="eastAsia" w:ascii="仿宋" w:hAnsi="仿宋" w:eastAsia="仿宋"/>
          <w:spacing w:val="-4"/>
          <w:sz w:val="32"/>
          <w:szCs w:val="32"/>
          <w:lang w:eastAsia="zh-CN"/>
        </w:rPr>
        <w:t>已完成该项指标，完成率</w:t>
      </w:r>
      <w:r>
        <w:rPr>
          <w:rFonts w:hint="eastAsia" w:ascii="仿宋" w:hAnsi="仿宋" w:eastAsia="仿宋"/>
          <w:spacing w:val="-4"/>
          <w:sz w:val="32"/>
          <w:szCs w:val="32"/>
          <w:lang w:val="en-US" w:eastAsia="zh-CN"/>
        </w:rPr>
        <w:t>100%</w:t>
      </w:r>
      <w:r>
        <w:rPr>
          <w:rFonts w:hint="eastAsia" w:ascii="仿宋" w:hAnsi="仿宋" w:eastAsia="仿宋"/>
          <w:spacing w:val="-4"/>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Style w:val="19"/>
          <w:rFonts w:hint="eastAsia" w:ascii="方正仿宋_GBK" w:hAnsi="方正仿宋_GBK" w:eastAsia="方正仿宋_GBK" w:cs="方正仿宋_GBK"/>
          <w:b/>
          <w:bCs/>
          <w:sz w:val="32"/>
          <w:szCs w:val="32"/>
        </w:rPr>
        <w:t>3</w:t>
      </w:r>
      <w:r>
        <w:rPr>
          <w:rStyle w:val="19"/>
          <w:rFonts w:hint="eastAsia" w:ascii="方正仿宋_GBK" w:hAnsi="方正仿宋_GBK" w:eastAsia="方正仿宋_GBK" w:cs="方正仿宋_GBK"/>
          <w:b/>
          <w:bCs/>
          <w:sz w:val="32"/>
          <w:szCs w:val="32"/>
          <w:lang w:eastAsia="zh-CN"/>
        </w:rPr>
        <w:t>、</w:t>
      </w:r>
      <w:r>
        <w:rPr>
          <w:rStyle w:val="19"/>
          <w:rFonts w:hint="eastAsia" w:ascii="方正仿宋_GBK" w:hAnsi="方正仿宋_GBK" w:eastAsia="方正仿宋_GBK" w:cs="方正仿宋_GBK"/>
          <w:b/>
          <w:bCs/>
          <w:sz w:val="32"/>
          <w:szCs w:val="32"/>
        </w:rPr>
        <w:t>满意度指标完成情况分析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Fonts w:hint="eastAsia" w:ascii="仿宋" w:hAnsi="仿宋" w:eastAsia="仿宋" w:cs="仿宋"/>
          <w:b w:val="0"/>
          <w:bCs/>
          <w:color w:val="auto"/>
          <w:kern w:val="0"/>
          <w:sz w:val="32"/>
          <w:szCs w:val="32"/>
          <w:lang w:val="en-US" w:eastAsia="zh-CN"/>
        </w:rPr>
        <w:t>（2）</w:t>
      </w:r>
      <w:r>
        <w:rPr>
          <w:rFonts w:hint="eastAsia" w:ascii="仿宋" w:hAnsi="仿宋" w:eastAsia="仿宋" w:cs="仿宋"/>
          <w:b w:val="0"/>
          <w:bCs/>
          <w:color w:val="auto"/>
          <w:kern w:val="0"/>
          <w:sz w:val="32"/>
          <w:szCs w:val="32"/>
          <w:lang w:eastAsia="zh-CN"/>
        </w:rPr>
        <w:t>项目实施的可持续影响分析。预计该项目社会大局持续稳定＞</w:t>
      </w:r>
      <w:r>
        <w:rPr>
          <w:rFonts w:hint="eastAsia" w:ascii="仿宋" w:hAnsi="仿宋" w:eastAsia="仿宋" w:cs="仿宋"/>
          <w:b w:val="0"/>
          <w:bCs/>
          <w:color w:val="auto"/>
          <w:kern w:val="0"/>
          <w:sz w:val="32"/>
          <w:szCs w:val="32"/>
          <w:lang w:val="en-US" w:eastAsia="zh-CN"/>
        </w:rPr>
        <w:t>90</w:t>
      </w:r>
      <w:r>
        <w:rPr>
          <w:rFonts w:hint="eastAsia" w:ascii="仿宋" w:hAnsi="仿宋" w:eastAsia="仿宋" w:cs="仿宋"/>
          <w:b w:val="0"/>
          <w:bCs/>
          <w:color w:val="auto"/>
          <w:kern w:val="0"/>
          <w:sz w:val="32"/>
          <w:szCs w:val="32"/>
          <w:lang w:eastAsia="zh-CN"/>
        </w:rPr>
        <w:t>%，已完成该项目指标，完成率</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spacing w:line="600" w:lineRule="exact"/>
        <w:ind w:firstLine="627" w:firstLineChars="196"/>
        <w:jc w:val="left"/>
        <w:rPr>
          <w:rFonts w:hint="eastAsia" w:ascii="仿宋" w:hAnsi="仿宋" w:eastAsia="仿宋" w:cs="仿宋"/>
          <w:b w:val="0"/>
          <w:bCs/>
          <w:color w:val="auto"/>
          <w:kern w:val="0"/>
          <w:sz w:val="32"/>
          <w:szCs w:val="32"/>
          <w:lang w:val="en-US" w:eastAsia="zh-CN"/>
        </w:rPr>
      </w:pPr>
      <w:r>
        <w:rPr>
          <w:rFonts w:hint="eastAsia" w:ascii="仿宋" w:hAnsi="仿宋" w:eastAsia="仿宋" w:cs="仿宋"/>
          <w:b w:val="0"/>
          <w:bCs/>
          <w:color w:val="auto"/>
          <w:kern w:val="0"/>
          <w:sz w:val="32"/>
          <w:szCs w:val="32"/>
          <w:lang w:eastAsia="zh-CN"/>
        </w:rPr>
        <w:t>该项目指标全部完成，预计群众满意度＞95%，实际群众满意度</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方正仿宋_GBK" w:hAnsi="方正仿宋_GBK" w:eastAsia="方正仿宋_GBK" w:cs="方正仿宋_GBK"/>
          <w:b/>
          <w:bCs/>
          <w:sz w:val="32"/>
          <w:szCs w:val="32"/>
          <w:highlight w:val="none"/>
          <w:lang w:eastAsia="zh-CN"/>
        </w:rPr>
      </w:pPr>
      <w:r>
        <w:rPr>
          <w:rFonts w:hint="eastAsia" w:ascii="方正仿宋_GBK" w:hAnsi="方正仿宋_GBK" w:eastAsia="方正仿宋_GBK" w:cs="方正仿宋_GBK"/>
          <w:b/>
          <w:bCs/>
          <w:sz w:val="32"/>
          <w:szCs w:val="32"/>
          <w:highlight w:val="none"/>
          <w:lang w:eastAsia="zh-CN"/>
        </w:rPr>
        <w:t>（二）项目绩效目标未完成原因分析。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该项目已完成所有设定的绩效目标任务，完成率</w:t>
      </w:r>
      <w:r>
        <w:rPr>
          <w:rFonts w:hint="eastAsia" w:ascii="仿宋" w:hAnsi="仿宋" w:eastAsia="仿宋" w:cs="仿宋"/>
          <w:sz w:val="32"/>
          <w:szCs w:val="32"/>
          <w:highlight w:val="none"/>
          <w:lang w:val="en-US" w:eastAsia="zh-CN"/>
        </w:rPr>
        <w:t>100%，不存在未完成目标值情况。</w:t>
      </w:r>
    </w:p>
    <w:p>
      <w:pPr>
        <w:spacing w:line="540" w:lineRule="exact"/>
        <w:ind w:firstLine="564" w:firstLineChars="181"/>
        <w:rPr>
          <w:rFonts w:hint="eastAsia" w:ascii="仿宋" w:hAnsi="仿宋" w:eastAsia="仿宋"/>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该项目已完成所有设定的绩效目标任务，完成率</w:t>
      </w:r>
      <w:r>
        <w:rPr>
          <w:rFonts w:hint="eastAsia" w:ascii="仿宋" w:hAnsi="仿宋" w:eastAsia="仿宋" w:cs="仿宋"/>
          <w:sz w:val="32"/>
          <w:szCs w:val="32"/>
          <w:highlight w:val="none"/>
          <w:lang w:val="en-US" w:eastAsia="zh-CN"/>
        </w:rPr>
        <w:t>100%，不存在未完成目标值情况。</w:t>
      </w:r>
    </w:p>
    <w:p>
      <w:pPr>
        <w:spacing w:line="540" w:lineRule="exact"/>
        <w:ind w:firstLine="564" w:firstLineChars="181"/>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学习更新相关规定，根据内部管理的需要，明确工作岗位职责和权限</w:t>
      </w:r>
      <w:r>
        <w:rPr>
          <w:rFonts w:hint="eastAsia" w:ascii="仿宋" w:hAnsi="仿宋" w:eastAsia="仿宋"/>
          <w:spacing w:val="-4"/>
          <w:sz w:val="32"/>
          <w:szCs w:val="32"/>
          <w:lang w:eastAsia="zh-CN"/>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lang w:val="en-US" w:eastAsia="zh-CN"/>
        </w:rPr>
        <w:t>1.</w:t>
      </w:r>
      <w:r>
        <w:rPr>
          <w:rFonts w:hint="eastAsia" w:ascii="仿宋" w:hAnsi="仿宋" w:eastAsia="仿宋"/>
          <w:spacing w:val="-4"/>
          <w:sz w:val="32"/>
          <w:szCs w:val="32"/>
        </w:rPr>
        <w:t>经验及做法：对专项资金，我局严格按照财务管理制度、专项资金管理办法以及本部门厉行节约制度执行，各项专项资金，做到了财政、上级、本部门的三方共同管理、监督，专款专用极大有效的预防和惩治违法犯罪行为，保护了公民</w:t>
      </w:r>
      <w:r>
        <w:rPr>
          <w:rFonts w:hint="eastAsia" w:ascii="仿宋" w:hAnsi="仿宋" w:eastAsia="仿宋"/>
          <w:spacing w:val="-4"/>
          <w:sz w:val="32"/>
          <w:szCs w:val="32"/>
          <w:lang w:eastAsia="zh-CN"/>
        </w:rPr>
        <w:t>合法权益</w:t>
      </w:r>
      <w:r>
        <w:rPr>
          <w:rFonts w:hint="eastAsia" w:ascii="仿宋" w:hAnsi="仿宋" w:eastAsia="仿宋"/>
          <w:spacing w:val="-4"/>
          <w:sz w:val="32"/>
          <w:szCs w:val="32"/>
        </w:rPr>
        <w:t>，抑制了犯罪数，维护社会稳定和经济发展。</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rPr>
      </w:pPr>
      <w:r>
        <w:rPr>
          <w:rFonts w:hint="eastAsia" w:ascii="仿宋" w:hAnsi="仿宋" w:eastAsia="仿宋"/>
          <w:spacing w:val="-4"/>
          <w:sz w:val="32"/>
          <w:szCs w:val="32"/>
          <w:lang w:val="en-US" w:eastAsia="zh-CN"/>
        </w:rPr>
        <w:t>2、</w:t>
      </w:r>
      <w:r>
        <w:rPr>
          <w:rStyle w:val="19"/>
          <w:rFonts w:hint="eastAsia" w:ascii="仿宋" w:hAnsi="仿宋" w:eastAsia="仿宋"/>
          <w:b w:val="0"/>
          <w:spacing w:val="-4"/>
          <w:sz w:val="32"/>
          <w:szCs w:val="32"/>
        </w:rPr>
        <w:t>存在的问题</w:t>
      </w:r>
    </w:p>
    <w:p>
      <w:pPr>
        <w:spacing w:line="540" w:lineRule="exact"/>
        <w:ind w:firstLine="564" w:firstLineChars="181"/>
        <w:rPr>
          <w:rFonts w:hint="eastAsia" w:ascii="仿宋" w:hAnsi="仿宋" w:eastAsia="仿宋"/>
          <w:spacing w:val="-4"/>
          <w:sz w:val="32"/>
          <w:szCs w:val="32"/>
          <w:lang w:val="en-US" w:eastAsia="zh-CN"/>
        </w:rPr>
      </w:pPr>
      <w:r>
        <w:rPr>
          <w:rFonts w:hint="eastAsia" w:ascii="仿宋" w:hAnsi="仿宋" w:eastAsia="仿宋"/>
          <w:spacing w:val="-4"/>
          <w:sz w:val="32"/>
          <w:szCs w:val="32"/>
          <w:lang w:val="en-US" w:eastAsia="zh-CN"/>
        </w:rPr>
        <w:t xml:space="preserve">   无</w:t>
      </w:r>
    </w:p>
    <w:p>
      <w:pPr>
        <w:numPr>
          <w:ilvl w:val="0"/>
          <w:numId w:val="0"/>
        </w:numPr>
        <w:spacing w:line="540" w:lineRule="exact"/>
        <w:ind w:leftChars="181"/>
        <w:rPr>
          <w:rStyle w:val="19"/>
          <w:rFonts w:hint="eastAsia" w:ascii="仿宋" w:hAnsi="仿宋" w:eastAsia="仿宋"/>
          <w:b w:val="0"/>
          <w:spacing w:val="-4"/>
          <w:sz w:val="32"/>
          <w:szCs w:val="32"/>
          <w:lang w:val="en-US" w:eastAsia="zh-CN"/>
        </w:rPr>
      </w:pPr>
      <w:r>
        <w:rPr>
          <w:rFonts w:hint="eastAsia" w:ascii="仿宋" w:hAnsi="仿宋" w:eastAsia="仿宋"/>
          <w:spacing w:val="-4"/>
          <w:sz w:val="32"/>
          <w:szCs w:val="32"/>
          <w:lang w:val="en-US" w:eastAsia="zh-CN"/>
        </w:rPr>
        <w:t>3、</w:t>
      </w:r>
      <w:r>
        <w:rPr>
          <w:rStyle w:val="19"/>
          <w:rFonts w:hint="eastAsia" w:ascii="仿宋" w:hAnsi="仿宋" w:eastAsia="仿宋"/>
          <w:b w:val="0"/>
          <w:spacing w:val="-4"/>
          <w:sz w:val="32"/>
          <w:szCs w:val="32"/>
          <w:lang w:val="en-US" w:eastAsia="zh-CN"/>
        </w:rPr>
        <w:t>建议</w:t>
      </w:r>
    </w:p>
    <w:p>
      <w:pPr>
        <w:numPr>
          <w:ilvl w:val="0"/>
          <w:numId w:val="0"/>
        </w:numPr>
        <w:spacing w:line="540" w:lineRule="exact"/>
        <w:ind w:leftChars="181"/>
        <w:rPr>
          <w:rStyle w:val="19"/>
          <w:rFonts w:hint="default"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 xml:space="preserve">  建立健全管理制度，加强项目建设管理，确保资金合理高效使用。</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无</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我局严格按照上级部门下达的资金使用方式使用资金，切实做到每笔资金都由我局领导逐级审批，合理规范资金使用情况，确保资金落到实处，使资金使用效益达到最大化，切实保障办案部门正常运转。</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《玛纳斯县财政项目支出绩效自评表》</w:t>
      </w: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tbl>
      <w:tblPr>
        <w:tblStyle w:val="17"/>
        <w:tblW w:w="9360" w:type="dxa"/>
        <w:tblInd w:w="93" w:type="dxa"/>
        <w:tblLayout w:type="fixed"/>
        <w:tblCellMar>
          <w:top w:w="0" w:type="dxa"/>
          <w:left w:w="108" w:type="dxa"/>
          <w:bottom w:w="0" w:type="dxa"/>
          <w:right w:w="108" w:type="dxa"/>
        </w:tblCellMar>
      </w:tblPr>
      <w:tblGrid>
        <w:gridCol w:w="720"/>
        <w:gridCol w:w="1300"/>
        <w:gridCol w:w="1473"/>
        <w:gridCol w:w="547"/>
        <w:gridCol w:w="1903"/>
        <w:gridCol w:w="1157"/>
        <w:gridCol w:w="2260"/>
      </w:tblGrid>
      <w:tr>
        <w:tblPrEx>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玛纳斯县财政项目支出绩效自评表</w:t>
            </w:r>
          </w:p>
        </w:tc>
      </w:tr>
      <w:tr>
        <w:tblPrEx>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（2018年度）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3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473"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547"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903"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157"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2260" w:type="dxa"/>
            <w:tcBorders>
              <w:top w:val="nil"/>
              <w:left w:val="nil"/>
              <w:bottom w:val="nil"/>
              <w:right w:val="nil"/>
            </w:tcBorders>
            <w:shd w:val="clear" w:color="auto" w:fill="auto"/>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trHeight w:val="435" w:hRule="atLeast"/>
        </w:trPr>
        <w:tc>
          <w:tcPr>
            <w:tcW w:w="3493"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项目名称</w:t>
            </w:r>
          </w:p>
        </w:tc>
        <w:tc>
          <w:tcPr>
            <w:tcW w:w="5867"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清水河派出所综合布线、技防设备和讯问系统购置资金</w:t>
            </w:r>
          </w:p>
        </w:tc>
      </w:tr>
      <w:tr>
        <w:tblPrEx>
          <w:tblCellMar>
            <w:top w:w="0" w:type="dxa"/>
            <w:left w:w="108" w:type="dxa"/>
            <w:bottom w:w="0" w:type="dxa"/>
            <w:right w:w="108" w:type="dxa"/>
          </w:tblCellMar>
        </w:tblPrEx>
        <w:trPr>
          <w:trHeight w:val="435" w:hRule="atLeast"/>
        </w:trPr>
        <w:tc>
          <w:tcPr>
            <w:tcW w:w="3493"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预算单位</w:t>
            </w:r>
          </w:p>
        </w:tc>
        <w:tc>
          <w:tcPr>
            <w:tcW w:w="5867"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玛纳斯县公安局</w:t>
            </w:r>
          </w:p>
        </w:tc>
      </w:tr>
      <w:tr>
        <w:tblPrEx>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预算执行情况（万元）</w:t>
            </w:r>
          </w:p>
        </w:tc>
        <w:tc>
          <w:tcPr>
            <w:tcW w:w="27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预算数：</w:t>
            </w:r>
          </w:p>
        </w:tc>
        <w:tc>
          <w:tcPr>
            <w:tcW w:w="245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1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执行数：</w:t>
            </w:r>
          </w:p>
        </w:tc>
        <w:tc>
          <w:tcPr>
            <w:tcW w:w="2260" w:type="dxa"/>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kern w:val="0"/>
                <w:sz w:val="24"/>
              </w:rPr>
            </w:pPr>
            <w:r>
              <w:rPr>
                <w:rFonts w:hint="eastAsia" w:ascii="仿宋" w:hAnsi="仿宋" w:eastAsia="仿宋" w:cs="宋体"/>
                <w:kern w:val="0"/>
                <w:sz w:val="24"/>
              </w:rPr>
              <w:t xml:space="preserve">49.00 </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7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245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1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2260" w:type="dxa"/>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kern w:val="0"/>
                <w:sz w:val="24"/>
              </w:rPr>
            </w:pPr>
            <w:r>
              <w:rPr>
                <w:rFonts w:hint="eastAsia" w:ascii="仿宋" w:hAnsi="仿宋" w:eastAsia="仿宋" w:cs="宋体"/>
                <w:kern w:val="0"/>
                <w:sz w:val="24"/>
              </w:rPr>
              <w:t xml:space="preserve">49.00 </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7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245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1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年度目标完成情况</w:t>
            </w:r>
          </w:p>
        </w:tc>
        <w:tc>
          <w:tcPr>
            <w:tcW w:w="5223"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预期目标</w:t>
            </w:r>
          </w:p>
        </w:tc>
        <w:tc>
          <w:tcPr>
            <w:tcW w:w="3417"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实际完成目标</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5223" w:type="dxa"/>
            <w:gridSpan w:val="4"/>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提高公安各办案部门工作效率，增强队伍实战能力，全面提升公安工作现代化水平，从而更好的维护稳定和长治久安，减少犯罪率，预防重大事故发生。</w:t>
            </w:r>
          </w:p>
        </w:tc>
        <w:tc>
          <w:tcPr>
            <w:tcW w:w="3417"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提高公安各办案部门工作效率，增强队伍实战能力，全面提升公安工作现代化水平，从而更好的维护稳定和长治久安，减少犯罪率，预防重大事故发生。</w:t>
            </w:r>
          </w:p>
        </w:tc>
      </w:tr>
      <w:tr>
        <w:tblPrEx>
          <w:tblCellMar>
            <w:top w:w="0" w:type="dxa"/>
            <w:left w:w="108" w:type="dxa"/>
            <w:bottom w:w="0" w:type="dxa"/>
            <w:right w:w="108" w:type="dxa"/>
          </w:tblCellMar>
        </w:tblPrEx>
        <w:trPr>
          <w:trHeight w:val="73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5223"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3417"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trHeight w:val="312"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5223"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3417"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trHeight w:val="87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年度绩效指标完成情况</w:t>
            </w:r>
          </w:p>
        </w:tc>
        <w:tc>
          <w:tcPr>
            <w:tcW w:w="1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一级指标</w:t>
            </w:r>
          </w:p>
        </w:tc>
        <w:tc>
          <w:tcPr>
            <w:tcW w:w="14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二级指标</w:t>
            </w:r>
          </w:p>
        </w:tc>
        <w:tc>
          <w:tcPr>
            <w:tcW w:w="245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三级指标</w:t>
            </w:r>
          </w:p>
        </w:tc>
        <w:tc>
          <w:tcPr>
            <w:tcW w:w="11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预期指标值（包含数字及文字描述）</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实际完成指标值（包含数字及文字描述）</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3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项目完成指标</w:t>
            </w:r>
          </w:p>
        </w:tc>
        <w:tc>
          <w:tcPr>
            <w:tcW w:w="1473"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数量指标</w:t>
            </w:r>
          </w:p>
        </w:tc>
        <w:tc>
          <w:tcPr>
            <w:tcW w:w="245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项目投资金额</w:t>
            </w:r>
          </w:p>
        </w:tc>
        <w:tc>
          <w:tcPr>
            <w:tcW w:w="1157"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49</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default" w:ascii="仿宋" w:hAnsi="仿宋" w:eastAsia="宋体" w:cs="宋体"/>
                <w:kern w:val="0"/>
                <w:sz w:val="24"/>
                <w:lang w:val="en-US" w:eastAsia="zh-CN"/>
              </w:rPr>
            </w:pPr>
            <w:r>
              <w:rPr>
                <w:rFonts w:hint="eastAsia" w:ascii="宋体" w:hAnsi="宋体" w:cs="宋体"/>
                <w:color w:val="000000" w:themeColor="text1"/>
                <w:kern w:val="0"/>
                <w:sz w:val="24"/>
              </w:rPr>
              <w:t xml:space="preserve"> </w:t>
            </w:r>
            <w:r>
              <w:rPr>
                <w:rFonts w:hint="eastAsia" w:ascii="宋体" w:hAnsi="宋体" w:cs="宋体"/>
                <w:color w:val="000000" w:themeColor="text1"/>
                <w:kern w:val="0"/>
                <w:sz w:val="24"/>
                <w:lang w:val="en-US" w:eastAsia="zh-CN"/>
              </w:rPr>
              <w:t>49</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473"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质量指标</w:t>
            </w:r>
          </w:p>
        </w:tc>
        <w:tc>
          <w:tcPr>
            <w:tcW w:w="245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提高接警处置效率</w:t>
            </w:r>
          </w:p>
        </w:tc>
        <w:tc>
          <w:tcPr>
            <w:tcW w:w="1157"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cs="宋体"/>
                <w:kern w:val="0"/>
                <w:sz w:val="24"/>
                <w:lang w:val="en-US"/>
              </w:rPr>
            </w:pPr>
            <w:r>
              <w:rPr>
                <w:rFonts w:hint="eastAsia" w:ascii="宋体" w:hAnsi="宋体" w:cs="宋体"/>
                <w:kern w:val="0"/>
                <w:sz w:val="24"/>
                <w:lang w:val="en-US" w:eastAsia="zh-CN"/>
              </w:rPr>
              <w:t>100%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cs="宋体"/>
                <w:kern w:val="0"/>
                <w:sz w:val="24"/>
                <w:lang w:val="en-US"/>
              </w:rPr>
            </w:pPr>
            <w:r>
              <w:rPr>
                <w:rFonts w:hint="eastAsia" w:ascii="宋体" w:hAnsi="宋体" w:cs="宋体"/>
                <w:kern w:val="0"/>
                <w:sz w:val="24"/>
                <w:lang w:val="en-US" w:eastAsia="zh-CN"/>
              </w:rPr>
              <w:t>100%</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473"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时效指标</w:t>
            </w:r>
          </w:p>
        </w:tc>
        <w:tc>
          <w:tcPr>
            <w:tcW w:w="245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资金执行率</w:t>
            </w:r>
          </w:p>
        </w:tc>
        <w:tc>
          <w:tcPr>
            <w:tcW w:w="11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val="en-US" w:eastAsia="zh-CN"/>
              </w:rPr>
              <w:t>100%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val="en-US" w:eastAsia="zh-CN"/>
              </w:rPr>
              <w:t>100%</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473"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成本指标</w:t>
            </w:r>
          </w:p>
        </w:tc>
        <w:tc>
          <w:tcPr>
            <w:tcW w:w="245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上级资金金额</w:t>
            </w:r>
          </w:p>
        </w:tc>
        <w:tc>
          <w:tcPr>
            <w:tcW w:w="11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val="en-US" w:eastAsia="zh-CN"/>
              </w:rPr>
              <w:t>49</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cs="宋体"/>
                <w:kern w:val="0"/>
                <w:sz w:val="24"/>
                <w:lang w:val="en-US"/>
              </w:rPr>
            </w:pPr>
            <w:r>
              <w:rPr>
                <w:rFonts w:hint="eastAsia" w:ascii="宋体" w:hAnsi="宋体" w:cs="宋体"/>
                <w:kern w:val="0"/>
                <w:sz w:val="24"/>
                <w:lang w:val="en-US" w:eastAsia="zh-CN"/>
              </w:rPr>
              <w:t>49</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3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项目效果指标</w:t>
            </w:r>
          </w:p>
        </w:tc>
        <w:tc>
          <w:tcPr>
            <w:tcW w:w="1473"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经济效益指标</w:t>
            </w:r>
          </w:p>
        </w:tc>
        <w:tc>
          <w:tcPr>
            <w:tcW w:w="245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p>
        </w:tc>
        <w:tc>
          <w:tcPr>
            <w:tcW w:w="11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473"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社会效益指标</w:t>
            </w:r>
          </w:p>
        </w:tc>
        <w:tc>
          <w:tcPr>
            <w:tcW w:w="245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提高接警处置效率，充分发挥公安职能，维护社会稳定</w:t>
            </w:r>
          </w:p>
        </w:tc>
        <w:tc>
          <w:tcPr>
            <w:tcW w:w="11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提升</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提升</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473"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45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改善办公环境，方便群众办事，</w:t>
            </w:r>
          </w:p>
        </w:tc>
        <w:tc>
          <w:tcPr>
            <w:tcW w:w="11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提高</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提高</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473"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生态效益指标</w:t>
            </w:r>
          </w:p>
        </w:tc>
        <w:tc>
          <w:tcPr>
            <w:tcW w:w="245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p>
        </w:tc>
        <w:tc>
          <w:tcPr>
            <w:tcW w:w="11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473"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可持续影响指标</w:t>
            </w:r>
          </w:p>
        </w:tc>
        <w:tc>
          <w:tcPr>
            <w:tcW w:w="245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lang w:eastAsia="zh-CN"/>
              </w:rPr>
              <w:t>社会面管控</w:t>
            </w:r>
          </w:p>
        </w:tc>
        <w:tc>
          <w:tcPr>
            <w:tcW w:w="11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eastAsia="zh-CN"/>
              </w:rPr>
              <w:t>长期</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eastAsia="zh-CN"/>
              </w:rPr>
              <w:t>长期</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147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245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ascii="宋体" w:hAnsi="宋体" w:cs="宋体"/>
                <w:kern w:val="0"/>
                <w:sz w:val="24"/>
              </w:rPr>
              <w:t xml:space="preserve"> </w:t>
            </w:r>
            <w:r>
              <w:rPr>
                <w:rFonts w:hint="eastAsia" w:ascii="宋体" w:hAnsi="宋体" w:cs="宋体"/>
                <w:kern w:val="0"/>
                <w:sz w:val="24"/>
              </w:rPr>
              <w:t>加强法律</w:t>
            </w:r>
            <w:r>
              <w:rPr>
                <w:rFonts w:hint="eastAsia" w:ascii="宋体" w:hAnsi="宋体" w:cs="宋体"/>
                <w:kern w:val="0"/>
                <w:sz w:val="24"/>
                <w:lang w:eastAsia="zh-CN"/>
              </w:rPr>
              <w:t>打击力度</w:t>
            </w:r>
            <w:r>
              <w:rPr>
                <w:rFonts w:hint="eastAsia" w:ascii="宋体" w:hAnsi="宋体" w:cs="宋体"/>
                <w:kern w:val="0"/>
                <w:sz w:val="24"/>
              </w:rPr>
              <w:t>，维护</w:t>
            </w:r>
            <w:r>
              <w:rPr>
                <w:rFonts w:hint="eastAsia" w:ascii="宋体" w:hAnsi="宋体" w:cs="宋体"/>
                <w:kern w:val="0"/>
                <w:sz w:val="24"/>
                <w:lang w:eastAsia="zh-CN"/>
              </w:rPr>
              <w:t>社会稳定</w:t>
            </w:r>
            <w:r>
              <w:rPr>
                <w:rFonts w:hint="eastAsia" w:ascii="宋体" w:hAnsi="宋体" w:cs="宋体"/>
                <w:kern w:val="0"/>
                <w:sz w:val="24"/>
              </w:rPr>
              <w:t>满意度</w:t>
            </w:r>
          </w:p>
        </w:tc>
        <w:tc>
          <w:tcPr>
            <w:tcW w:w="11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&gt;90%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&gt;90%</w:t>
            </w:r>
          </w:p>
        </w:tc>
      </w:tr>
    </w:tbl>
    <w:p>
      <w:pPr>
        <w:spacing w:line="540" w:lineRule="exact"/>
        <w:ind w:firstLine="567"/>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仿宋_GBK">
    <w:altName w:val="宋体"/>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5</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BF0477"/>
    <w:multiLevelType w:val="singleLevel"/>
    <w:tmpl w:val="86BF0477"/>
    <w:lvl w:ilvl="0" w:tentative="0">
      <w:start w:val="1"/>
      <w:numFmt w:val="decimal"/>
      <w:suff w:val="nothing"/>
      <w:lvlText w:val="（%1）"/>
      <w:lvlJc w:val="left"/>
    </w:lvl>
  </w:abstractNum>
  <w:abstractNum w:abstractNumId="1">
    <w:nsid w:val="5D0FB1CA"/>
    <w:multiLevelType w:val="singleLevel"/>
    <w:tmpl w:val="5D0FB1CA"/>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34816"/>
    <w:rsid w:val="00051D6B"/>
    <w:rsid w:val="00056465"/>
    <w:rsid w:val="000B63E1"/>
    <w:rsid w:val="000E0F39"/>
    <w:rsid w:val="000E7402"/>
    <w:rsid w:val="00102356"/>
    <w:rsid w:val="00121AE4"/>
    <w:rsid w:val="00146AAD"/>
    <w:rsid w:val="001B3A40"/>
    <w:rsid w:val="002977E8"/>
    <w:rsid w:val="003337E0"/>
    <w:rsid w:val="003422CC"/>
    <w:rsid w:val="00351685"/>
    <w:rsid w:val="00364E0B"/>
    <w:rsid w:val="003B13D3"/>
    <w:rsid w:val="003C18BC"/>
    <w:rsid w:val="004366A8"/>
    <w:rsid w:val="00464900"/>
    <w:rsid w:val="00502BA7"/>
    <w:rsid w:val="005162F1"/>
    <w:rsid w:val="00535153"/>
    <w:rsid w:val="00542434"/>
    <w:rsid w:val="00554F82"/>
    <w:rsid w:val="0056390D"/>
    <w:rsid w:val="005719B0"/>
    <w:rsid w:val="005C50AE"/>
    <w:rsid w:val="005D10D6"/>
    <w:rsid w:val="005D22D4"/>
    <w:rsid w:val="006F709F"/>
    <w:rsid w:val="00722C22"/>
    <w:rsid w:val="007806A5"/>
    <w:rsid w:val="007A3794"/>
    <w:rsid w:val="007A7588"/>
    <w:rsid w:val="007C5E51"/>
    <w:rsid w:val="007D1D4C"/>
    <w:rsid w:val="007F7BED"/>
    <w:rsid w:val="00855E3A"/>
    <w:rsid w:val="008858F2"/>
    <w:rsid w:val="008A6315"/>
    <w:rsid w:val="008D24C5"/>
    <w:rsid w:val="008F7A1D"/>
    <w:rsid w:val="00922CB9"/>
    <w:rsid w:val="00996504"/>
    <w:rsid w:val="009C4E03"/>
    <w:rsid w:val="009E5CD9"/>
    <w:rsid w:val="009F4AB5"/>
    <w:rsid w:val="00A133D0"/>
    <w:rsid w:val="00A26421"/>
    <w:rsid w:val="00A337BA"/>
    <w:rsid w:val="00A4293B"/>
    <w:rsid w:val="00A67D50"/>
    <w:rsid w:val="00A8691A"/>
    <w:rsid w:val="00A93999"/>
    <w:rsid w:val="00AA2202"/>
    <w:rsid w:val="00AC1946"/>
    <w:rsid w:val="00AF2231"/>
    <w:rsid w:val="00B40063"/>
    <w:rsid w:val="00B41F61"/>
    <w:rsid w:val="00B60449"/>
    <w:rsid w:val="00B65FCB"/>
    <w:rsid w:val="00BA46E6"/>
    <w:rsid w:val="00C042BC"/>
    <w:rsid w:val="00C56C72"/>
    <w:rsid w:val="00CA6457"/>
    <w:rsid w:val="00CC4FD7"/>
    <w:rsid w:val="00D17F2E"/>
    <w:rsid w:val="00D209D1"/>
    <w:rsid w:val="00D2223F"/>
    <w:rsid w:val="00D30354"/>
    <w:rsid w:val="00D82C00"/>
    <w:rsid w:val="00DF42A0"/>
    <w:rsid w:val="00E0665E"/>
    <w:rsid w:val="00E46C51"/>
    <w:rsid w:val="00E769FE"/>
    <w:rsid w:val="00EA2CBE"/>
    <w:rsid w:val="00EE7710"/>
    <w:rsid w:val="00EF2659"/>
    <w:rsid w:val="00F04F7A"/>
    <w:rsid w:val="00F2607F"/>
    <w:rsid w:val="00F32FEE"/>
    <w:rsid w:val="00F51E2C"/>
    <w:rsid w:val="00FB10BB"/>
    <w:rsid w:val="00FD0AD7"/>
    <w:rsid w:val="06403D91"/>
    <w:rsid w:val="07224C3D"/>
    <w:rsid w:val="0B61369E"/>
    <w:rsid w:val="0E460995"/>
    <w:rsid w:val="13247A87"/>
    <w:rsid w:val="16213AA7"/>
    <w:rsid w:val="1B44019E"/>
    <w:rsid w:val="1C29505C"/>
    <w:rsid w:val="201C579C"/>
    <w:rsid w:val="208845D2"/>
    <w:rsid w:val="22047729"/>
    <w:rsid w:val="274C487B"/>
    <w:rsid w:val="2CA247BC"/>
    <w:rsid w:val="40B72D62"/>
    <w:rsid w:val="47AD29DA"/>
    <w:rsid w:val="4A3A10BB"/>
    <w:rsid w:val="4AC75B55"/>
    <w:rsid w:val="4B9D7C88"/>
    <w:rsid w:val="4BFA2D1D"/>
    <w:rsid w:val="5103515B"/>
    <w:rsid w:val="54C32909"/>
    <w:rsid w:val="553C40C4"/>
    <w:rsid w:val="60507220"/>
    <w:rsid w:val="63C42FF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semiHidden/>
    <w:qFormat/>
    <w:uiPriority w:val="99"/>
    <w:pPr>
      <w:jc w:val="left"/>
    </w:pPr>
    <w:rPr>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qFormat/>
    <w:uiPriority w:val="99"/>
    <w:rPr>
      <w:rFonts w:ascii="Calibri" w:hAnsi="Calibri" w:cs="Times New Roman"/>
      <w:b/>
      <w:i/>
      <w:iCs/>
    </w:rPr>
  </w:style>
  <w:style w:type="character" w:customStyle="1" w:styleId="21">
    <w:name w:val="标题 1 Char"/>
    <w:link w:val="2"/>
    <w:qFormat/>
    <w:locked/>
    <w:uiPriority w:val="99"/>
    <w:rPr>
      <w:rFonts w:ascii="Cambria" w:hAnsi="Cambria" w:eastAsia="宋体" w:cs="Times New Roman"/>
      <w:b/>
      <w:bCs/>
      <w:kern w:val="32"/>
      <w:sz w:val="32"/>
      <w:szCs w:val="32"/>
    </w:rPr>
  </w:style>
  <w:style w:type="character" w:customStyle="1" w:styleId="22">
    <w:name w:val="标题 2 Char"/>
    <w:link w:val="3"/>
    <w:semiHidden/>
    <w:qFormat/>
    <w:locked/>
    <w:uiPriority w:val="99"/>
    <w:rPr>
      <w:rFonts w:ascii="Cambria" w:hAnsi="Cambria" w:eastAsia="宋体" w:cs="Times New Roman"/>
      <w:b/>
      <w:bCs/>
      <w:i/>
      <w:iCs/>
      <w:sz w:val="28"/>
      <w:szCs w:val="28"/>
    </w:rPr>
  </w:style>
  <w:style w:type="character" w:customStyle="1" w:styleId="23">
    <w:name w:val="标题 3 Char"/>
    <w:link w:val="4"/>
    <w:semiHidden/>
    <w:qFormat/>
    <w:locked/>
    <w:uiPriority w:val="99"/>
    <w:rPr>
      <w:rFonts w:ascii="Cambria" w:hAnsi="Cambria" w:eastAsia="宋体" w:cs="Times New Roman"/>
      <w:b/>
      <w:bCs/>
      <w:sz w:val="26"/>
      <w:szCs w:val="26"/>
    </w:rPr>
  </w:style>
  <w:style w:type="character" w:customStyle="1" w:styleId="24">
    <w:name w:val="标题 4 Char"/>
    <w:link w:val="5"/>
    <w:semiHidden/>
    <w:qFormat/>
    <w:locked/>
    <w:uiPriority w:val="99"/>
    <w:rPr>
      <w:rFonts w:cs="Times New Roman"/>
      <w:b/>
      <w:bCs/>
      <w:sz w:val="28"/>
      <w:szCs w:val="28"/>
    </w:rPr>
  </w:style>
  <w:style w:type="character" w:customStyle="1" w:styleId="25">
    <w:name w:val="标题 5 Char"/>
    <w:link w:val="6"/>
    <w:semiHidden/>
    <w:qFormat/>
    <w:locked/>
    <w:uiPriority w:val="99"/>
    <w:rPr>
      <w:rFonts w:cs="Times New Roman"/>
      <w:b/>
      <w:bCs/>
      <w:i/>
      <w:iCs/>
      <w:sz w:val="26"/>
      <w:szCs w:val="26"/>
    </w:rPr>
  </w:style>
  <w:style w:type="character" w:customStyle="1" w:styleId="26">
    <w:name w:val="标题 6 Char"/>
    <w:link w:val="7"/>
    <w:semiHidden/>
    <w:qFormat/>
    <w:locked/>
    <w:uiPriority w:val="99"/>
    <w:rPr>
      <w:rFonts w:cs="Times New Roman"/>
      <w:b/>
      <w:bCs/>
    </w:rPr>
  </w:style>
  <w:style w:type="character" w:customStyle="1" w:styleId="27">
    <w:name w:val="标题 7 Char"/>
    <w:link w:val="8"/>
    <w:semiHidden/>
    <w:qFormat/>
    <w:locked/>
    <w:uiPriority w:val="99"/>
    <w:rPr>
      <w:rFonts w:cs="Times New Roman"/>
      <w:sz w:val="24"/>
      <w:szCs w:val="24"/>
    </w:rPr>
  </w:style>
  <w:style w:type="character" w:customStyle="1" w:styleId="28">
    <w:name w:val="标题 8 Char"/>
    <w:link w:val="9"/>
    <w:semiHidden/>
    <w:qFormat/>
    <w:locked/>
    <w:uiPriority w:val="99"/>
    <w:rPr>
      <w:rFonts w:cs="Times New Roman"/>
      <w:i/>
      <w:iCs/>
      <w:sz w:val="24"/>
      <w:szCs w:val="24"/>
    </w:rPr>
  </w:style>
  <w:style w:type="character" w:customStyle="1" w:styleId="29">
    <w:name w:val="标题 9 Char"/>
    <w:link w:val="10"/>
    <w:semiHidden/>
    <w:qFormat/>
    <w:locked/>
    <w:uiPriority w:val="99"/>
    <w:rPr>
      <w:rFonts w:ascii="Cambria" w:hAnsi="Cambria" w:eastAsia="宋体" w:cs="Times New Roman"/>
    </w:rPr>
  </w:style>
  <w:style w:type="character" w:customStyle="1" w:styleId="30">
    <w:name w:val="批注框文本 Char"/>
    <w:link w:val="11"/>
    <w:semiHidden/>
    <w:qFormat/>
    <w:locked/>
    <w:uiPriority w:val="99"/>
    <w:rPr>
      <w:rFonts w:ascii="Times New Roman" w:hAnsi="Times New Roman" w:eastAsia="宋体" w:cs="Times New Roman"/>
      <w:kern w:val="2"/>
      <w:sz w:val="18"/>
      <w:szCs w:val="18"/>
    </w:rPr>
  </w:style>
  <w:style w:type="character" w:customStyle="1" w:styleId="31">
    <w:name w:val="页脚 Char"/>
    <w:link w:val="12"/>
    <w:qFormat/>
    <w:locked/>
    <w:uiPriority w:val="99"/>
    <w:rPr>
      <w:rFonts w:ascii="Calibri" w:hAnsi="Calibri" w:eastAsia="宋体" w:cs="Times New Roman"/>
      <w:kern w:val="2"/>
      <w:sz w:val="18"/>
      <w:szCs w:val="18"/>
    </w:rPr>
  </w:style>
  <w:style w:type="character" w:customStyle="1" w:styleId="32">
    <w:name w:val="页眉 Char"/>
    <w:link w:val="13"/>
    <w:qFormat/>
    <w:locked/>
    <w:uiPriority w:val="99"/>
    <w:rPr>
      <w:rFonts w:ascii="Calibri" w:hAnsi="Calibri" w:eastAsia="宋体" w:cs="Times New Roman"/>
      <w:kern w:val="2"/>
      <w:sz w:val="18"/>
      <w:szCs w:val="18"/>
    </w:rPr>
  </w:style>
  <w:style w:type="character" w:customStyle="1" w:styleId="33">
    <w:name w:val="副标题 Char"/>
    <w:link w:val="14"/>
    <w:qFormat/>
    <w:locked/>
    <w:uiPriority w:val="99"/>
    <w:rPr>
      <w:rFonts w:ascii="Cambria" w:hAnsi="Cambria" w:eastAsia="宋体" w:cs="Times New Roman"/>
      <w:sz w:val="24"/>
      <w:szCs w:val="24"/>
    </w:rPr>
  </w:style>
  <w:style w:type="character" w:customStyle="1" w:styleId="34">
    <w:name w:val="标题 Char"/>
    <w:link w:val="16"/>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Char"/>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Char"/>
    <w:link w:val="39"/>
    <w:qFormat/>
    <w:locked/>
    <w:uiPriority w:val="99"/>
    <w:rPr>
      <w:rFonts w:cs="Times New Roman"/>
      <w:b/>
      <w:i/>
      <w:sz w:val="24"/>
    </w:rPr>
  </w:style>
  <w:style w:type="character" w:customStyle="1" w:styleId="41">
    <w:name w:val="不明显强调1"/>
    <w:qFormat/>
    <w:uiPriority w:val="99"/>
    <w:rPr>
      <w:i/>
      <w:color w:val="595959"/>
    </w:rPr>
  </w:style>
  <w:style w:type="character" w:customStyle="1" w:styleId="42">
    <w:name w:val="明显强调1"/>
    <w:qFormat/>
    <w:uiPriority w:val="99"/>
    <w:rPr>
      <w:rFonts w:cs="Times New Roman"/>
      <w:b/>
      <w:i/>
      <w:sz w:val="24"/>
      <w:szCs w:val="24"/>
      <w:u w:val="single"/>
    </w:rPr>
  </w:style>
  <w:style w:type="character" w:customStyle="1" w:styleId="43">
    <w:name w:val="不明显参考1"/>
    <w:qFormat/>
    <w:uiPriority w:val="99"/>
    <w:rPr>
      <w:rFonts w:cs="Times New Roman"/>
      <w:sz w:val="24"/>
      <w:szCs w:val="24"/>
      <w:u w:val="single"/>
    </w:rPr>
  </w:style>
  <w:style w:type="character" w:customStyle="1" w:styleId="44">
    <w:name w:val="明显参考1"/>
    <w:qFormat/>
    <w:uiPriority w:val="99"/>
    <w:rPr>
      <w:rFonts w:cs="Times New Roman"/>
      <w:b/>
      <w:sz w:val="24"/>
      <w:u w:val="single"/>
    </w:rPr>
  </w:style>
  <w:style w:type="character" w:customStyle="1" w:styleId="45">
    <w:name w:val="书籍标题1"/>
    <w:qFormat/>
    <w:uiPriority w:val="99"/>
    <w:rPr>
      <w:rFonts w:ascii="Cambria" w:hAnsi="Cambria" w:eastAsia="宋体" w:cs="Times New Roman"/>
      <w:b/>
      <w:i/>
      <w:sz w:val="24"/>
      <w:szCs w:val="24"/>
    </w:rPr>
  </w:style>
  <w:style w:type="paragraph" w:customStyle="1" w:styleId="46">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356</Words>
  <Characters>2031</Characters>
  <Lines>16</Lines>
  <Paragraphs>4</Paragraphs>
  <TotalTime>1</TotalTime>
  <ScaleCrop>false</ScaleCrop>
  <LinksUpToDate>false</LinksUpToDate>
  <CharactersWithSpaces>2383</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2019-10-25T11:46:30Z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