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项目名称：技侦工作站技术手段设备资金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提高公安各办案部门工作效率，增强队伍实战能力，全面提升公安工作现代化水平，从而更好的维护稳定和长治久安，减少犯罪率，预防重大事故发生。</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本项目共设置一级指标3个、二级指标8个、三级指标9个指标。三级指标可量化8个，占比88.8%</w:t>
      </w:r>
      <w:r>
        <w:rPr>
          <w:rStyle w:val="19"/>
          <w:rFonts w:hint="eastAsia" w:ascii="仿宋" w:hAnsi="仿宋" w:eastAsia="仿宋"/>
          <w:b w:val="0"/>
          <w:spacing w:val="-4"/>
          <w:sz w:val="32"/>
          <w:szCs w:val="32"/>
        </w:rPr>
        <w:t>经费主要用于我局购置技侦专用设备。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玛纳斯县公安局技侦工作站技术手段设备项目</w:t>
      </w:r>
      <w:r>
        <w:rPr>
          <w:rStyle w:val="19"/>
          <w:rFonts w:hint="eastAsia" w:ascii="仿宋" w:hAnsi="仿宋" w:eastAsia="仿宋"/>
          <w:b w:val="0"/>
          <w:spacing w:val="-4"/>
          <w:sz w:val="32"/>
          <w:szCs w:val="32"/>
          <w:lang w:val="en-US" w:eastAsia="zh-CN"/>
        </w:rPr>
        <w:t>2018年安排总金额176万元。项目资金为</w:t>
      </w:r>
      <w:r>
        <w:rPr>
          <w:rStyle w:val="19"/>
          <w:rFonts w:hint="eastAsia" w:ascii="仿宋" w:hAnsi="仿宋" w:eastAsia="仿宋"/>
          <w:b w:val="0"/>
          <w:bCs/>
          <w:spacing w:val="-4"/>
          <w:sz w:val="32"/>
          <w:szCs w:val="32"/>
          <w:lang w:val="en-US" w:eastAsia="zh-CN"/>
        </w:rPr>
        <w:t>上级</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176万元,</w:t>
      </w:r>
      <w:r>
        <w:rPr>
          <w:rStyle w:val="19"/>
          <w:rFonts w:hint="eastAsia" w:ascii="仿宋" w:hAnsi="仿宋" w:eastAsia="仿宋"/>
          <w:b w:val="0"/>
          <w:spacing w:val="-4"/>
          <w:sz w:val="32"/>
          <w:szCs w:val="32"/>
          <w:lang w:val="en-US" w:eastAsia="zh-CN"/>
        </w:rPr>
        <w:t>资金已全部到位，执行率100%。</w:t>
      </w:r>
      <w:r>
        <w:rPr>
          <w:rStyle w:val="19"/>
          <w:rFonts w:hint="eastAsia" w:ascii="仿宋" w:hAnsi="仿宋" w:eastAsia="仿宋"/>
          <w:b w:val="0"/>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176万元，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w:t>
      </w:r>
      <w:r>
        <w:rPr>
          <w:rStyle w:val="19"/>
          <w:rFonts w:hint="eastAsia" w:ascii="仿宋" w:hAnsi="仿宋" w:eastAsia="仿宋"/>
          <w:b w:val="0"/>
          <w:spacing w:val="-4"/>
          <w:sz w:val="32"/>
          <w:szCs w:val="32"/>
          <w:lang w:val="en-US" w:eastAsia="zh-CN"/>
        </w:rPr>
        <w:t>要用于支付</w:t>
      </w:r>
      <w:r>
        <w:rPr>
          <w:rStyle w:val="19"/>
          <w:rFonts w:hint="eastAsia" w:ascii="仿宋" w:hAnsi="仿宋" w:eastAsia="仿宋"/>
          <w:b w:val="0"/>
          <w:spacing w:val="-4"/>
          <w:sz w:val="32"/>
          <w:szCs w:val="32"/>
        </w:rPr>
        <w:t>我局技侦工作站技术手段设备</w:t>
      </w:r>
      <w:r>
        <w:rPr>
          <w:rStyle w:val="19"/>
          <w:rFonts w:hint="eastAsia" w:ascii="仿宋" w:hAnsi="仿宋" w:eastAsia="仿宋"/>
          <w:b w:val="0"/>
          <w:spacing w:val="-4"/>
          <w:sz w:val="32"/>
          <w:szCs w:val="32"/>
          <w:lang w:val="en-US" w:eastAsia="zh-CN"/>
        </w:rPr>
        <w:t>176</w:t>
      </w:r>
      <w:r>
        <w:rPr>
          <w:rStyle w:val="19"/>
          <w:rFonts w:hint="eastAsia" w:ascii="仿宋" w:hAnsi="仿宋" w:eastAsia="仿宋"/>
          <w:b w:val="0"/>
          <w:spacing w:val="-4"/>
          <w:sz w:val="32"/>
          <w:szCs w:val="32"/>
        </w:rPr>
        <w:t>万元。</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spacing w:val="-4"/>
          <w:sz w:val="32"/>
          <w:szCs w:val="32"/>
        </w:rPr>
        <w:t>项目资金由县财政局统一管理，由我局按需进行分批次申请，支付时我局进行五级审批后支付。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176万元，主要用于</w:t>
      </w:r>
      <w:r>
        <w:rPr>
          <w:rStyle w:val="19"/>
          <w:rFonts w:hint="eastAsia" w:ascii="仿宋" w:hAnsi="仿宋" w:eastAsia="仿宋"/>
          <w:b w:val="0"/>
          <w:spacing w:val="-4"/>
          <w:sz w:val="32"/>
          <w:szCs w:val="32"/>
        </w:rPr>
        <w:t>支付技侦工作站技术手段设备实施过程均按照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制定的项目管理制度执行2018年项目资金无调整情况。我局资金使用严格执行我局各项规章制度，资金落实到位，不拖欠，不做项目外的其他支出。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一、项目管理制度建设</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以努力用好每一分钱，办好每一件事的为原则，不断提高各项经费的管理水平和使用效益。按照公安厅及上级部门制订的相关财务制度，我局也根据单位的实际情况制定了切实可行的《财务管理制度》、《财务岗位职责》《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二、日常检查监督管理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先后制定了支出管理制度、专项资金管理制度以及稽核制度，单位项目资金使用严格执行“三重一大”管理制度，对学校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本项目共设置一级指标3个、二级指标8个、三级指标9个指标。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bCs/>
          <w:color w:val="000000" w:themeColor="text1"/>
          <w:spacing w:val="-4"/>
          <w:sz w:val="32"/>
          <w:szCs w:val="32"/>
          <w:lang w:eastAsia="zh-CN"/>
        </w:rPr>
        <w:t>财政安排</w:t>
      </w:r>
      <w:r>
        <w:rPr>
          <w:rStyle w:val="19"/>
          <w:rFonts w:hint="eastAsia" w:ascii="仿宋" w:hAnsi="仿宋" w:eastAsia="仿宋"/>
          <w:b w:val="0"/>
          <w:bCs/>
          <w:color w:val="000000" w:themeColor="text1"/>
          <w:spacing w:val="-4"/>
          <w:sz w:val="32"/>
          <w:szCs w:val="32"/>
          <w:lang w:val="en-US" w:eastAsia="zh-CN"/>
        </w:rPr>
        <w:t>176万元，</w:t>
      </w:r>
      <w:r>
        <w:rPr>
          <w:rStyle w:val="19"/>
          <w:rFonts w:hint="eastAsia" w:ascii="仿宋" w:hAnsi="仿宋" w:eastAsia="仿宋"/>
          <w:b w:val="0"/>
          <w:color w:val="000000" w:themeColor="text1"/>
          <w:spacing w:val="-4"/>
          <w:sz w:val="32"/>
          <w:szCs w:val="32"/>
        </w:rPr>
        <w:t>资金全部到位。</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2"/>
        </w:numPr>
        <w:kinsoku/>
        <w:wordWrap/>
        <w:overflowPunct/>
        <w:topLinePunct w:val="0"/>
        <w:autoSpaceDE/>
        <w:autoSpaceDN/>
        <w:bidi w:val="0"/>
        <w:spacing w:after="0" w:line="540" w:lineRule="exact"/>
        <w:ind w:left="304" w:leftChars="0" w:firstLine="0" w:firstLineChars="0"/>
        <w:textAlignment w:val="auto"/>
        <w:outlineLvl w:val="9"/>
        <w:rPr>
          <w:rStyle w:val="19"/>
          <w:rFonts w:hint="eastAsia" w:ascii="仿宋" w:hAnsi="仿宋" w:eastAsia="仿宋" w:cs="Times New Roman"/>
          <w:b w:val="0"/>
          <w:color w:val="000000" w:themeColor="text1"/>
          <w:spacing w:val="-4"/>
          <w:sz w:val="32"/>
          <w:szCs w:val="32"/>
          <w:lang w:eastAsia="zh-CN"/>
        </w:rPr>
      </w:pPr>
      <w:r>
        <w:rPr>
          <w:rStyle w:val="19"/>
          <w:rFonts w:hint="eastAsia" w:ascii="仿宋" w:hAnsi="仿宋" w:eastAsia="仿宋"/>
          <w:b w:val="0"/>
          <w:spacing w:val="-4"/>
          <w:sz w:val="32"/>
          <w:szCs w:val="32"/>
          <w:lang w:eastAsia="zh-CN"/>
        </w:rPr>
        <w:t>项目完成数量。</w:t>
      </w:r>
    </w:p>
    <w:p>
      <w:pPr>
        <w:keepNext w:val="0"/>
        <w:keepLines w:val="0"/>
        <w:pageBreakBefore w:val="0"/>
        <w:widowControl w:val="0"/>
        <w:numPr>
          <w:ilvl w:val="0"/>
          <w:numId w:val="2"/>
        </w:numPr>
        <w:kinsoku/>
        <w:wordWrap/>
        <w:overflowPunct/>
        <w:topLinePunct w:val="0"/>
        <w:autoSpaceDE/>
        <w:autoSpaceDN/>
        <w:bidi w:val="0"/>
        <w:spacing w:after="0" w:line="540" w:lineRule="exact"/>
        <w:ind w:left="304" w:leftChars="0" w:firstLine="0" w:firstLineChars="0"/>
        <w:textAlignment w:val="auto"/>
        <w:outlineLvl w:val="9"/>
        <w:rPr>
          <w:rStyle w:val="19"/>
          <w:rFonts w:hint="default" w:ascii="仿宋" w:hAnsi="仿宋" w:eastAsia="仿宋" w:cs="Times New Roman"/>
          <w:b w:val="0"/>
          <w:color w:val="000000" w:themeColor="text1"/>
          <w:spacing w:val="-4"/>
          <w:sz w:val="32"/>
          <w:szCs w:val="32"/>
          <w:lang w:val="en-US" w:eastAsia="zh-CN"/>
        </w:rPr>
      </w:pPr>
      <w:r>
        <w:rPr>
          <w:rStyle w:val="19"/>
          <w:rFonts w:hint="eastAsia" w:ascii="仿宋" w:hAnsi="仿宋" w:eastAsia="仿宋"/>
          <w:b w:val="0"/>
          <w:spacing w:val="-4"/>
          <w:sz w:val="32"/>
          <w:szCs w:val="32"/>
          <w:lang w:eastAsia="zh-CN"/>
        </w:rPr>
        <w:t>项目完成质量。提高接警处置效率</w:t>
      </w:r>
      <w:r>
        <w:rPr>
          <w:rStyle w:val="19"/>
          <w:rFonts w:hint="eastAsia" w:ascii="仿宋" w:hAnsi="仿宋" w:eastAsia="仿宋"/>
          <w:b w:val="0"/>
          <w:spacing w:val="-4"/>
          <w:sz w:val="32"/>
          <w:szCs w:val="32"/>
          <w:lang w:val="en-US" w:eastAsia="zh-CN"/>
        </w:rPr>
        <w:t>100%。</w:t>
      </w:r>
    </w:p>
    <w:p>
      <w:pPr>
        <w:keepNext w:val="0"/>
        <w:keepLines w:val="0"/>
        <w:pageBreakBefore w:val="0"/>
        <w:widowControl w:val="0"/>
        <w:numPr>
          <w:ilvl w:val="0"/>
          <w:numId w:val="2"/>
        </w:numPr>
        <w:kinsoku/>
        <w:wordWrap/>
        <w:overflowPunct/>
        <w:topLinePunct w:val="0"/>
        <w:autoSpaceDE/>
        <w:autoSpaceDN/>
        <w:bidi w:val="0"/>
        <w:spacing w:after="0" w:line="540" w:lineRule="exact"/>
        <w:ind w:left="304" w:leftChars="0" w:firstLine="0" w:firstLineChars="0"/>
        <w:textAlignment w:val="auto"/>
        <w:outlineLvl w:val="9"/>
        <w:rPr>
          <w:rStyle w:val="19"/>
          <w:rFonts w:hint="default" w:ascii="仿宋" w:hAnsi="仿宋" w:eastAsia="仿宋" w:cs="Times New Roman"/>
          <w:b w:val="0"/>
          <w:color w:val="000000" w:themeColor="text1"/>
          <w:spacing w:val="-4"/>
          <w:sz w:val="32"/>
          <w:szCs w:val="32"/>
          <w:lang w:val="en-US" w:eastAsia="zh-CN"/>
        </w:rPr>
      </w:pPr>
      <w:r>
        <w:rPr>
          <w:rStyle w:val="19"/>
          <w:rFonts w:hint="eastAsia" w:ascii="仿宋" w:hAnsi="仿宋" w:eastAsia="仿宋"/>
          <w:b w:val="0"/>
          <w:spacing w:val="-4"/>
          <w:sz w:val="32"/>
          <w:szCs w:val="32"/>
          <w:lang w:eastAsia="zh-CN"/>
        </w:rPr>
        <w:t>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2"/>
        </w:numPr>
        <w:kinsoku/>
        <w:wordWrap/>
        <w:overflowPunct/>
        <w:topLinePunct w:val="0"/>
        <w:autoSpaceDE/>
        <w:autoSpaceDN/>
        <w:bidi w:val="0"/>
        <w:spacing w:after="0" w:line="540" w:lineRule="exact"/>
        <w:ind w:left="304" w:leftChars="0" w:firstLine="0" w:firstLineChars="0"/>
        <w:textAlignment w:val="auto"/>
        <w:outlineLvl w:val="9"/>
        <w:rPr>
          <w:rStyle w:val="19"/>
          <w:rFonts w:hint="default" w:ascii="仿宋" w:hAnsi="仿宋" w:eastAsia="仿宋" w:cs="Times New Roman"/>
          <w:b w:val="0"/>
          <w:color w:val="000000" w:themeColor="text1"/>
          <w:spacing w:val="-4"/>
          <w:sz w:val="32"/>
          <w:szCs w:val="32"/>
          <w:lang w:val="en-US" w:eastAsia="zh-CN"/>
        </w:rPr>
      </w:pPr>
      <w:r>
        <w:rPr>
          <w:rStyle w:val="19"/>
          <w:rFonts w:hint="eastAsia" w:ascii="仿宋" w:hAnsi="仿宋" w:eastAsia="仿宋"/>
          <w:b w:val="0"/>
          <w:spacing w:val="-4"/>
          <w:sz w:val="32"/>
          <w:szCs w:val="32"/>
          <w:lang w:eastAsia="zh-CN"/>
        </w:rPr>
        <w:t>项目成本。项目成本</w:t>
      </w:r>
      <w:r>
        <w:rPr>
          <w:rStyle w:val="19"/>
          <w:rFonts w:hint="eastAsia" w:ascii="仿宋" w:hAnsi="仿宋" w:eastAsia="仿宋"/>
          <w:b w:val="0"/>
          <w:spacing w:val="-4"/>
          <w:sz w:val="32"/>
          <w:szCs w:val="32"/>
          <w:lang w:val="en-US" w:eastAsia="zh-CN"/>
        </w:rPr>
        <w:t>176万，</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b w:val="0"/>
          <w:color w:val="000000" w:themeColor="text1"/>
          <w:spacing w:val="-4"/>
          <w:sz w:val="32"/>
          <w:szCs w:val="32"/>
          <w:lang w:eastAsia="zh-CN"/>
        </w:rPr>
        <w:t>全面提高公安机关对社会面的管控，违法案件明显减少，社会治安明显好转，群众的安全感和满意度明显提高，</w:t>
      </w:r>
      <w:r>
        <w:rPr>
          <w:rStyle w:val="19"/>
          <w:rFonts w:hint="eastAsia" w:ascii="仿宋" w:hAnsi="仿宋" w:eastAsia="仿宋"/>
          <w:b w:val="0"/>
          <w:color w:val="000000" w:themeColor="text1"/>
          <w:spacing w:val="-4"/>
          <w:sz w:val="32"/>
          <w:szCs w:val="32"/>
        </w:rPr>
        <w:t>保护人民群众合法权益，维护社会安定稳定，促进经济社会健康发展，维护社会公平正义。促进了社会公平正义与和谐进步。</w:t>
      </w:r>
      <w:r>
        <w:rPr>
          <w:rFonts w:hint="eastAsia" w:ascii="仿宋" w:hAnsi="仿宋" w:eastAsia="仿宋" w:cs="仿宋"/>
          <w:b w:val="0"/>
          <w:bCs/>
          <w:color w:val="auto"/>
          <w:kern w:val="0"/>
          <w:sz w:val="32"/>
          <w:szCs w:val="32"/>
          <w:lang w:eastAsia="zh-CN"/>
        </w:rPr>
        <w:t>已完成该项指标，完成率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w:t>
      </w:r>
      <w:r>
        <w:rPr>
          <w:rStyle w:val="19"/>
          <w:rFonts w:hint="eastAsia" w:ascii="仿宋" w:hAnsi="仿宋" w:eastAsia="仿宋"/>
          <w:b w:val="0"/>
          <w:spacing w:val="-4"/>
          <w:sz w:val="32"/>
          <w:szCs w:val="32"/>
          <w:lang w:eastAsia="zh-CN"/>
        </w:rPr>
        <w:t>合法权益</w:t>
      </w:r>
      <w:r>
        <w:rPr>
          <w:rStyle w:val="19"/>
          <w:rFonts w:hint="eastAsia" w:ascii="仿宋" w:hAnsi="仿宋" w:eastAsia="仿宋"/>
          <w:b w:val="0"/>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numPr>
          <w:ilvl w:val="0"/>
          <w:numId w:val="0"/>
        </w:numPr>
        <w:spacing w:line="540" w:lineRule="exact"/>
        <w:ind w:left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11620" w:type="dxa"/>
        <w:tblInd w:w="93" w:type="dxa"/>
        <w:tblLayout w:type="fixed"/>
        <w:tblCellMar>
          <w:top w:w="0" w:type="dxa"/>
          <w:left w:w="108" w:type="dxa"/>
          <w:bottom w:w="0" w:type="dxa"/>
          <w:right w:w="108" w:type="dxa"/>
        </w:tblCellMar>
      </w:tblPr>
      <w:tblGrid>
        <w:gridCol w:w="720"/>
        <w:gridCol w:w="1300"/>
        <w:gridCol w:w="1400"/>
        <w:gridCol w:w="620"/>
        <w:gridCol w:w="1328"/>
        <w:gridCol w:w="1732"/>
        <w:gridCol w:w="2260"/>
        <w:gridCol w:w="2260"/>
      </w:tblGrid>
      <w:tr>
        <w:tblPrEx>
          <w:tblCellMar>
            <w:top w:w="0" w:type="dxa"/>
            <w:left w:w="108" w:type="dxa"/>
            <w:bottom w:w="0" w:type="dxa"/>
            <w:right w:w="108" w:type="dxa"/>
          </w:tblCellMar>
        </w:tblPrEx>
        <w:trPr>
          <w:gridAfter w:val="1"/>
          <w:wAfter w:w="2260" w:type="dxa"/>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gridAfter w:val="1"/>
          <w:wAfter w:w="2260" w:type="dxa"/>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gridAfter w:val="1"/>
          <w:wAfter w:w="2260" w:type="dxa"/>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2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3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技侦工作站技术手段设备资金</w:t>
            </w:r>
          </w:p>
        </w:tc>
      </w:tr>
      <w:tr>
        <w:tblPrEx>
          <w:tblCellMar>
            <w:top w:w="0" w:type="dxa"/>
            <w:left w:w="108" w:type="dxa"/>
            <w:bottom w:w="0" w:type="dxa"/>
            <w:right w:w="108" w:type="dxa"/>
          </w:tblCellMar>
        </w:tblPrEx>
        <w:trPr>
          <w:gridAfter w:val="1"/>
          <w:wAfter w:w="2260" w:type="dxa"/>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gridAfter w:val="1"/>
          <w:wAfter w:w="2260" w:type="dxa"/>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176.00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176.00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64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99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4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c>
          <w:tcPr>
            <w:tcW w:w="399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提高公安各办案部门工作效率，增强队伍实战能力，全面提升公安工作现代化水平，从而更好的维护稳定和长治久安，减少犯罪率，预防重大事故发生。</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4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9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4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9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870" w:hRule="atLeast"/>
        </w:trPr>
        <w:tc>
          <w:tcPr>
            <w:tcW w:w="720" w:type="dxa"/>
            <w:vMerge w:val="restart"/>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ascii="宋体" w:hAnsi="宋体" w:cs="宋体"/>
                <w:kern w:val="0"/>
                <w:sz w:val="24"/>
              </w:rPr>
              <w:t xml:space="preserve"> </w:t>
            </w:r>
            <w:r>
              <w:rPr>
                <w:rFonts w:hint="eastAsia" w:ascii="宋体" w:hAnsi="宋体" w:cs="宋体"/>
                <w:kern w:val="0"/>
                <w:sz w:val="24"/>
              </w:rPr>
              <w:t>项目投资金额</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176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176</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260" w:type="dxa"/>
          <w:trHeight w:val="50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宋体" w:cs="宋体"/>
                <w:kern w:val="0"/>
                <w:sz w:val="24"/>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176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176</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指标1：</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Times New Roman" w:eastAsia="宋体" w:cs="宋体"/>
                <w:kern w:val="0"/>
                <w:sz w:val="24"/>
                <w:szCs w:val="24"/>
                <w:lang w:val="en-US" w:eastAsia="zh-CN" w:bidi="ar-SA"/>
              </w:rPr>
            </w:pPr>
            <w:r>
              <w:rPr>
                <w:rFonts w:hint="eastAsia" w:ascii="宋体" w:hAnsi="宋体" w:cs="宋体"/>
                <w:kern w:val="0"/>
                <w:sz w:val="24"/>
                <w:lang w:eastAsia="zh-CN"/>
              </w:rPr>
              <w:t>查缉各种犯罪，为固定证据提供保障</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Times New Roman" w:eastAsia="宋体" w:cs="宋体"/>
                <w:kern w:val="0"/>
                <w:sz w:val="24"/>
                <w:szCs w:val="24"/>
                <w:lang w:val="en-US" w:eastAsia="zh-CN" w:bidi="ar-SA"/>
              </w:rPr>
            </w:pPr>
            <w:r>
              <w:rPr>
                <w:rFonts w:hint="eastAsia" w:ascii="宋体" w:hAnsi="宋体" w:cs="宋体"/>
                <w:kern w:val="0"/>
                <w:sz w:val="24"/>
                <w:lang w:eastAsia="zh-CN"/>
              </w:rPr>
              <w:t>有效</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Times New Roman" w:eastAsia="宋体" w:cs="宋体"/>
                <w:kern w:val="0"/>
                <w:sz w:val="24"/>
                <w:szCs w:val="24"/>
                <w:lang w:val="en-US" w:eastAsia="zh-CN" w:bidi="ar-SA"/>
              </w:rPr>
            </w:pPr>
            <w:r>
              <w:rPr>
                <w:rFonts w:hint="eastAsia" w:ascii="宋体" w:hAnsi="宋体" w:cs="宋体"/>
                <w:kern w:val="0"/>
                <w:sz w:val="24"/>
                <w:lang w:eastAsia="zh-CN"/>
              </w:rPr>
              <w:t>有效</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rPr>
              <w:t>充分发挥公安职能，维护社会稳定</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rPr>
              <w:t>提升</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kern w:val="0"/>
                <w:sz w:val="24"/>
                <w:szCs w:val="24"/>
                <w:lang w:val="en-US" w:eastAsia="zh-CN" w:bidi="ar-SA"/>
              </w:rPr>
            </w:pPr>
            <w:r>
              <w:rPr>
                <w:rFonts w:hint="eastAsia" w:ascii="宋体" w:hAnsi="宋体" w:cs="宋体"/>
                <w:kern w:val="0"/>
                <w:sz w:val="24"/>
              </w:rPr>
              <w:t>提升</w:t>
            </w:r>
          </w:p>
        </w:tc>
      </w:tr>
      <w:tr>
        <w:tblPrEx>
          <w:tblCellMar>
            <w:top w:w="0" w:type="dxa"/>
            <w:left w:w="108" w:type="dxa"/>
            <w:bottom w:w="0" w:type="dxa"/>
            <w:right w:w="108" w:type="dxa"/>
          </w:tblCellMar>
        </w:tblPrEx>
        <w:trPr>
          <w:gridAfter w:val="1"/>
          <w:wAfter w:w="226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0"/>
                <w:szCs w:val="20"/>
              </w:rPr>
              <w:t>可持续影响指标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社会面管控</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满意度指标</w:t>
            </w:r>
          </w:p>
        </w:tc>
        <w:tc>
          <w:tcPr>
            <w:tcW w:w="194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，维护意度</w:t>
            </w:r>
          </w:p>
        </w:tc>
        <w:tc>
          <w:tcPr>
            <w:tcW w:w="17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lang w:val="en-US" w:eastAsia="zh-CN" w:bidi="ar-SA"/>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lang w:val="en-US" w:eastAsia="zh-CN" w:bidi="ar-SA"/>
              </w:rPr>
            </w:pPr>
          </w:p>
        </w:tc>
      </w:tr>
      <w:tr>
        <w:tblPrEx>
          <w:tblCellMar>
            <w:top w:w="0" w:type="dxa"/>
            <w:left w:w="108" w:type="dxa"/>
            <w:bottom w:w="0" w:type="dxa"/>
            <w:right w:w="108" w:type="dxa"/>
          </w:tblCellMar>
        </w:tblPrEx>
        <w:trPr>
          <w:gridAfter w:val="7"/>
          <w:wAfter w:w="10900" w:type="dxa"/>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r>
    </w:tbl>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F22278"/>
    <w:multiLevelType w:val="singleLevel"/>
    <w:tmpl w:val="D8F22278"/>
    <w:lvl w:ilvl="0" w:tentative="0">
      <w:start w:val="1"/>
      <w:numFmt w:val="decimal"/>
      <w:suff w:val="nothing"/>
      <w:lvlText w:val="（%1）"/>
      <w:lvlJc w:val="left"/>
      <w:pPr>
        <w:ind w:left="304" w:leftChars="0" w:firstLine="0" w:firstLineChars="0"/>
      </w:pPr>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7402"/>
    <w:rsid w:val="00121AE4"/>
    <w:rsid w:val="00146AAD"/>
    <w:rsid w:val="001B3A40"/>
    <w:rsid w:val="002977E8"/>
    <w:rsid w:val="003337E0"/>
    <w:rsid w:val="00364E0B"/>
    <w:rsid w:val="003C18BC"/>
    <w:rsid w:val="004366A8"/>
    <w:rsid w:val="0044079C"/>
    <w:rsid w:val="00464900"/>
    <w:rsid w:val="00493E3E"/>
    <w:rsid w:val="004F7EB0"/>
    <w:rsid w:val="00502BA7"/>
    <w:rsid w:val="005162F1"/>
    <w:rsid w:val="00535153"/>
    <w:rsid w:val="00542434"/>
    <w:rsid w:val="00554F82"/>
    <w:rsid w:val="0056390D"/>
    <w:rsid w:val="005719B0"/>
    <w:rsid w:val="005C50AE"/>
    <w:rsid w:val="005D10D6"/>
    <w:rsid w:val="005D1979"/>
    <w:rsid w:val="006F709F"/>
    <w:rsid w:val="00722C22"/>
    <w:rsid w:val="007806A5"/>
    <w:rsid w:val="007A7588"/>
    <w:rsid w:val="007C5E51"/>
    <w:rsid w:val="007D1D4C"/>
    <w:rsid w:val="007F7BED"/>
    <w:rsid w:val="00855E3A"/>
    <w:rsid w:val="008858F2"/>
    <w:rsid w:val="008D24C5"/>
    <w:rsid w:val="008F7A1D"/>
    <w:rsid w:val="00922CB9"/>
    <w:rsid w:val="00996504"/>
    <w:rsid w:val="009C4E03"/>
    <w:rsid w:val="009E128D"/>
    <w:rsid w:val="009E5CD9"/>
    <w:rsid w:val="009F4AB5"/>
    <w:rsid w:val="00A26421"/>
    <w:rsid w:val="00A337BA"/>
    <w:rsid w:val="00A4293B"/>
    <w:rsid w:val="00A67D50"/>
    <w:rsid w:val="00A8691A"/>
    <w:rsid w:val="00AA2202"/>
    <w:rsid w:val="00AC1946"/>
    <w:rsid w:val="00AF2231"/>
    <w:rsid w:val="00B40063"/>
    <w:rsid w:val="00B41F61"/>
    <w:rsid w:val="00BA46E6"/>
    <w:rsid w:val="00BD70BE"/>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51E2C"/>
    <w:rsid w:val="00FB10BB"/>
    <w:rsid w:val="00FD0AD7"/>
    <w:rsid w:val="08415B31"/>
    <w:rsid w:val="0C673C6A"/>
    <w:rsid w:val="0E644EE9"/>
    <w:rsid w:val="108A07C0"/>
    <w:rsid w:val="15585E2E"/>
    <w:rsid w:val="1D8609C6"/>
    <w:rsid w:val="2B871E63"/>
    <w:rsid w:val="455C6335"/>
    <w:rsid w:val="4B17315A"/>
    <w:rsid w:val="4CB1036C"/>
    <w:rsid w:val="4E570046"/>
    <w:rsid w:val="506D5C78"/>
    <w:rsid w:val="52F5430A"/>
    <w:rsid w:val="553C40C4"/>
    <w:rsid w:val="587A71D6"/>
    <w:rsid w:val="5D0443E3"/>
    <w:rsid w:val="63936B43"/>
    <w:rsid w:val="63C42FF6"/>
    <w:rsid w:val="68211227"/>
    <w:rsid w:val="6BE77042"/>
    <w:rsid w:val="76C20E72"/>
    <w:rsid w:val="787C0A29"/>
    <w:rsid w:val="7A763DDC"/>
    <w:rsid w:val="7AF377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338</Words>
  <Characters>1929</Characters>
  <Lines>16</Lines>
  <Paragraphs>4</Paragraphs>
  <TotalTime>0</TotalTime>
  <ScaleCrop>false</ScaleCrop>
  <LinksUpToDate>false</LinksUpToDate>
  <CharactersWithSpaces>2263</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2019-10-25T11:57:16Z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