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项目名称：看守所扩建项目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ascii="仿宋" w:hAnsi="仿宋" w:eastAsia="仿宋"/>
          <w:sz w:val="30"/>
          <w:szCs w:val="30"/>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after="0"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lang w:eastAsia="zh-CN"/>
        </w:rPr>
        <w:t>实行武装看守，保障安全，对看守所人员进行教育。</w:t>
      </w:r>
      <w:r>
        <w:rPr>
          <w:rFonts w:hint="eastAsia" w:ascii="仿宋" w:hAnsi="仿宋" w:eastAsia="仿宋"/>
          <w:spacing w:val="-4"/>
          <w:sz w:val="32"/>
          <w:szCs w:val="32"/>
        </w:rPr>
        <w:t>充分发挥公安职能，维护社会稳定。</w:t>
      </w:r>
    </w:p>
    <w:p>
      <w:pPr>
        <w:spacing w:after="0"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项目共设置一级指标3个、二级指标9个、三级指标9个指标。三级指标可量化8个，占比88%。</w:t>
      </w:r>
      <w:r>
        <w:rPr>
          <w:rStyle w:val="19"/>
          <w:rFonts w:hint="eastAsia" w:ascii="仿宋" w:hAnsi="仿宋" w:eastAsia="仿宋"/>
          <w:b w:val="0"/>
          <w:spacing w:val="-4"/>
          <w:sz w:val="32"/>
          <w:szCs w:val="32"/>
        </w:rPr>
        <w:t>经费主要用于我局</w:t>
      </w:r>
      <w:r>
        <w:rPr>
          <w:rStyle w:val="19"/>
          <w:rFonts w:hint="eastAsia" w:ascii="仿宋" w:hAnsi="仿宋" w:eastAsia="仿宋"/>
          <w:b w:val="0"/>
          <w:spacing w:val="-4"/>
          <w:sz w:val="32"/>
          <w:szCs w:val="32"/>
          <w:lang w:eastAsia="zh-CN"/>
        </w:rPr>
        <w:t>看守所</w:t>
      </w:r>
      <w:r>
        <w:rPr>
          <w:rStyle w:val="19"/>
          <w:rFonts w:hint="eastAsia" w:ascii="仿宋" w:hAnsi="仿宋" w:eastAsia="仿宋"/>
          <w:b w:val="0"/>
          <w:spacing w:val="-4"/>
          <w:sz w:val="32"/>
          <w:szCs w:val="32"/>
        </w:rPr>
        <w:t>项目建设项目工程款及前期费用</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玛纳斯县公安局拘留所项目</w:t>
      </w:r>
      <w:r>
        <w:rPr>
          <w:rStyle w:val="19"/>
          <w:rFonts w:hint="eastAsia" w:ascii="仿宋" w:hAnsi="仿宋" w:eastAsia="仿宋"/>
          <w:b w:val="0"/>
          <w:spacing w:val="-4"/>
          <w:sz w:val="32"/>
          <w:szCs w:val="32"/>
          <w:lang w:val="en-US" w:eastAsia="zh-CN"/>
        </w:rPr>
        <w:t>2018年安排总金额1691.49万元。项目资金为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1691.49万元，</w:t>
      </w:r>
      <w:r>
        <w:rPr>
          <w:rStyle w:val="19"/>
          <w:rFonts w:hint="eastAsia" w:ascii="仿宋" w:hAnsi="仿宋" w:eastAsia="仿宋"/>
          <w:b w:val="0"/>
          <w:spacing w:val="-4"/>
          <w:sz w:val="32"/>
          <w:szCs w:val="32"/>
          <w:lang w:val="en-US" w:eastAsia="zh-CN"/>
        </w:rPr>
        <w:t>资金已全部到位，执行率100%。</w:t>
      </w:r>
      <w:r>
        <w:rPr>
          <w:rFonts w:hint="eastAsia" w:ascii="仿宋" w:hAnsi="仿宋" w:eastAsia="仿宋"/>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val="en-US" w:eastAsia="zh-CN"/>
        </w:rPr>
        <w:t>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1691.49万元，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w:t>
      </w:r>
      <w:r>
        <w:rPr>
          <w:rStyle w:val="19"/>
          <w:rFonts w:hint="eastAsia" w:ascii="仿宋" w:hAnsi="仿宋" w:eastAsia="仿宋"/>
          <w:b w:val="0"/>
          <w:spacing w:val="-4"/>
          <w:sz w:val="32"/>
          <w:szCs w:val="32"/>
          <w:lang w:val="en-US" w:eastAsia="zh-CN"/>
        </w:rPr>
        <w:t>资金使用完成率100%。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项目资金由县财政局统一管理，</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Fonts w:hint="eastAsia" w:ascii="仿宋" w:hAnsi="仿宋" w:eastAsia="仿宋"/>
          <w:spacing w:val="-4"/>
          <w:sz w:val="32"/>
          <w:szCs w:val="32"/>
        </w:rPr>
        <w:t>由代建处对项目进度及质量进行监管，支付时由代建处向财政局申请资金，建筑单位携监理、代建处签字的工程支付申请书及发票和相关中标合同手续在我局进行五级审批后，交由财政局支付。</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项目投标情况：</w:t>
      </w:r>
      <w:r>
        <w:rPr>
          <w:rFonts w:hint="eastAsia" w:ascii="仿宋" w:hAnsi="仿宋" w:eastAsia="仿宋"/>
          <w:spacing w:val="-4"/>
          <w:sz w:val="32"/>
          <w:szCs w:val="32"/>
          <w:lang w:val="en-US" w:eastAsia="zh-CN"/>
        </w:rPr>
        <w:t>实际项</w:t>
      </w:r>
      <w:r>
        <w:rPr>
          <w:rFonts w:hint="eastAsia" w:ascii="仿宋" w:hAnsi="仿宋" w:eastAsia="仿宋"/>
          <w:spacing w:val="-4"/>
          <w:sz w:val="32"/>
          <w:szCs w:val="32"/>
          <w:lang w:eastAsia="zh-CN"/>
        </w:rPr>
        <w:t>目总投入</w:t>
      </w:r>
      <w:r>
        <w:rPr>
          <w:rStyle w:val="19"/>
          <w:rFonts w:hint="eastAsia" w:ascii="仿宋" w:hAnsi="仿宋" w:eastAsia="仿宋"/>
          <w:b w:val="0"/>
          <w:bCs/>
          <w:spacing w:val="-4"/>
          <w:sz w:val="32"/>
          <w:szCs w:val="32"/>
          <w:lang w:val="en-US" w:eastAsia="zh-CN"/>
        </w:rPr>
        <w:t>1691.49</w:t>
      </w:r>
      <w:r>
        <w:rPr>
          <w:rFonts w:hint="eastAsia" w:ascii="仿宋" w:hAnsi="仿宋" w:eastAsia="仿宋"/>
          <w:spacing w:val="-4"/>
          <w:sz w:val="32"/>
          <w:szCs w:val="32"/>
          <w:lang w:val="en-US" w:eastAsia="zh-CN"/>
        </w:rPr>
        <w:t>万元</w:t>
      </w:r>
      <w:r>
        <w:rPr>
          <w:rStyle w:val="19"/>
          <w:rFonts w:hint="eastAsia" w:ascii="仿宋" w:hAnsi="仿宋" w:eastAsia="仿宋"/>
          <w:b w:val="0"/>
          <w:spacing w:val="-4"/>
          <w:sz w:val="32"/>
          <w:szCs w:val="32"/>
          <w:lang w:val="en-US" w:eastAsia="zh-CN"/>
        </w:rPr>
        <w:t>主要用于</w:t>
      </w:r>
      <w:r>
        <w:rPr>
          <w:rStyle w:val="19"/>
          <w:rFonts w:hint="eastAsia" w:ascii="仿宋" w:hAnsi="仿宋" w:eastAsia="仿宋"/>
          <w:b w:val="0"/>
          <w:spacing w:val="-4"/>
          <w:sz w:val="32"/>
          <w:szCs w:val="32"/>
        </w:rPr>
        <w:t>支付</w:t>
      </w:r>
      <w:r>
        <w:rPr>
          <w:rFonts w:hint="eastAsia" w:ascii="仿宋" w:hAnsi="仿宋" w:eastAsia="仿宋"/>
          <w:spacing w:val="-4"/>
          <w:sz w:val="32"/>
          <w:szCs w:val="32"/>
        </w:rPr>
        <w:t>看守所扩建项目项目资金无调整情况。我局资金使用严格执行我局各项规章制度，资金落实到位，不拖欠，不做项目外的其他支出。</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640"/>
        <w:rPr>
          <w:rFonts w:hint="eastAsia" w:ascii="仿宋" w:hAnsi="仿宋" w:eastAsia="仿宋"/>
          <w:spacing w:val="-4"/>
          <w:sz w:val="32"/>
          <w:szCs w:val="32"/>
        </w:rPr>
      </w:pPr>
      <w:r>
        <w:rPr>
          <w:rFonts w:hint="eastAsia" w:ascii="仿宋" w:hAnsi="仿宋" w:eastAsia="仿宋"/>
          <w:spacing w:val="-4"/>
          <w:sz w:val="32"/>
          <w:szCs w:val="32"/>
          <w:lang w:val="en-US" w:eastAsia="zh-CN"/>
        </w:rPr>
        <w:t>2.</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val="en-US" w:eastAsia="zh-CN"/>
        </w:rPr>
        <w:t>本项目共设置一级指标3个、二级指标9个、三级指标8个指标。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8</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2018年，</w:t>
      </w:r>
      <w:r>
        <w:rPr>
          <w:rStyle w:val="19"/>
          <w:rFonts w:hint="eastAsia" w:ascii="仿宋" w:hAnsi="仿宋" w:eastAsia="仿宋"/>
          <w:b w:val="0"/>
          <w:color w:val="000000" w:themeColor="text1"/>
          <w:spacing w:val="-4"/>
          <w:sz w:val="32"/>
          <w:szCs w:val="32"/>
          <w:lang w:eastAsia="zh-CN"/>
        </w:rPr>
        <w:t>我局</w:t>
      </w:r>
      <w:r>
        <w:rPr>
          <w:rStyle w:val="19"/>
          <w:rFonts w:hint="eastAsia" w:ascii="仿宋" w:hAnsi="仿宋" w:eastAsia="仿宋"/>
          <w:b w:val="0"/>
          <w:color w:val="000000" w:themeColor="text1"/>
          <w:spacing w:val="-4"/>
          <w:sz w:val="32"/>
          <w:szCs w:val="32"/>
        </w:rPr>
        <w:t>紧紧围绕坚持维护社会平安稳定，</w:t>
      </w:r>
      <w:r>
        <w:rPr>
          <w:rStyle w:val="19"/>
          <w:rFonts w:hint="eastAsia" w:ascii="仿宋" w:hAnsi="仿宋" w:eastAsia="仿宋"/>
          <w:b w:val="0"/>
          <w:color w:val="000000" w:themeColor="text1"/>
          <w:spacing w:val="-4"/>
          <w:sz w:val="32"/>
          <w:szCs w:val="32"/>
          <w:lang w:eastAsia="zh-CN"/>
        </w:rPr>
        <w:t>预防和惩治违法犯罪行为，保护公民合法权益，维护社会秩序</w:t>
      </w:r>
      <w:r>
        <w:rPr>
          <w:rStyle w:val="19"/>
          <w:rFonts w:hint="eastAsia" w:ascii="仿宋" w:hAnsi="仿宋" w:eastAsia="仿宋"/>
          <w:b w:val="0"/>
          <w:color w:val="000000" w:themeColor="text1"/>
          <w:spacing w:val="-4"/>
          <w:sz w:val="32"/>
          <w:szCs w:val="32"/>
        </w:rPr>
        <w:t>。2018年</w:t>
      </w:r>
      <w:r>
        <w:rPr>
          <w:rStyle w:val="19"/>
          <w:rFonts w:hint="eastAsia" w:ascii="仿宋" w:hAnsi="仿宋" w:eastAsia="仿宋"/>
          <w:b w:val="0"/>
          <w:bCs/>
          <w:color w:val="000000" w:themeColor="text1"/>
          <w:spacing w:val="-4"/>
          <w:sz w:val="32"/>
          <w:szCs w:val="32"/>
          <w:lang w:val="en-US" w:eastAsia="zh-CN"/>
        </w:rPr>
        <w:t>自治区</w:t>
      </w:r>
      <w:r>
        <w:rPr>
          <w:rStyle w:val="19"/>
          <w:rFonts w:hint="eastAsia" w:ascii="仿宋" w:hAnsi="仿宋" w:eastAsia="仿宋"/>
          <w:b w:val="0"/>
          <w:bCs/>
          <w:color w:val="000000" w:themeColor="text1"/>
          <w:spacing w:val="-4"/>
          <w:sz w:val="32"/>
          <w:szCs w:val="32"/>
          <w:lang w:eastAsia="zh-CN"/>
        </w:rPr>
        <w:t>财政安排</w:t>
      </w:r>
      <w:r>
        <w:rPr>
          <w:rStyle w:val="19"/>
          <w:rFonts w:hint="eastAsia" w:ascii="仿宋" w:hAnsi="仿宋" w:eastAsia="仿宋"/>
          <w:b w:val="0"/>
          <w:bCs/>
          <w:color w:val="000000" w:themeColor="text1"/>
          <w:spacing w:val="-4"/>
          <w:sz w:val="32"/>
          <w:szCs w:val="32"/>
          <w:lang w:val="en-US" w:eastAsia="zh-CN"/>
        </w:rPr>
        <w:t>1691.49元，</w:t>
      </w:r>
      <w:r>
        <w:rPr>
          <w:rStyle w:val="19"/>
          <w:rFonts w:hint="eastAsia" w:ascii="仿宋" w:hAnsi="仿宋" w:eastAsia="仿宋"/>
          <w:b w:val="0"/>
          <w:color w:val="000000" w:themeColor="text1"/>
          <w:spacing w:val="-4"/>
          <w:sz w:val="32"/>
          <w:szCs w:val="32"/>
        </w:rPr>
        <w:t>资金全部到位。</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numPr>
          <w:ilvl w:val="0"/>
          <w:numId w:val="0"/>
        </w:numPr>
        <w:kinsoku/>
        <w:wordWrap/>
        <w:overflowPunct/>
        <w:topLinePunct w:val="0"/>
        <w:autoSpaceDE/>
        <w:autoSpaceDN/>
        <w:bidi w:val="0"/>
        <w:spacing w:after="0" w:line="540" w:lineRule="exact"/>
        <w:textAlignment w:val="auto"/>
        <w:outlineLvl w:val="9"/>
        <w:rPr>
          <w:rStyle w:val="19"/>
          <w:rFonts w:hint="default" w:ascii="仿宋" w:hAnsi="仿宋" w:eastAsia="仿宋"/>
          <w:b w:val="0"/>
          <w:color w:val="000000" w:themeColor="text1"/>
          <w:spacing w:val="-4"/>
          <w:sz w:val="32"/>
          <w:szCs w:val="32"/>
          <w:lang w:val="en-US" w:eastAsia="zh-CN"/>
        </w:rPr>
      </w:pPr>
      <w:r>
        <w:rPr>
          <w:rStyle w:val="19"/>
          <w:rFonts w:hint="eastAsia" w:ascii="仿宋" w:hAnsi="仿宋" w:eastAsia="仿宋"/>
          <w:b w:val="0"/>
          <w:color w:val="000000" w:themeColor="text1"/>
          <w:spacing w:val="-4"/>
          <w:sz w:val="32"/>
          <w:szCs w:val="32"/>
          <w:lang w:val="en-US" w:eastAsia="zh-CN"/>
        </w:rPr>
        <w:t xml:space="preserve">     </w:t>
      </w:r>
      <w:r>
        <w:rPr>
          <w:rStyle w:val="19"/>
          <w:rFonts w:hint="eastAsia" w:ascii="仿宋" w:hAnsi="仿宋" w:eastAsia="仿宋"/>
          <w:b w:val="0"/>
          <w:spacing w:val="-4"/>
          <w:sz w:val="32"/>
          <w:szCs w:val="32"/>
          <w:lang w:eastAsia="zh-CN"/>
        </w:rPr>
        <w:t>（1）项目完成数量。项目投资金额</w:t>
      </w:r>
      <w:r>
        <w:rPr>
          <w:rStyle w:val="19"/>
          <w:rFonts w:hint="eastAsia" w:ascii="仿宋" w:hAnsi="仿宋" w:eastAsia="仿宋"/>
          <w:b w:val="0"/>
          <w:bCs/>
          <w:color w:val="000000" w:themeColor="text1"/>
          <w:spacing w:val="-4"/>
          <w:sz w:val="32"/>
          <w:szCs w:val="32"/>
          <w:lang w:val="en-US" w:eastAsia="zh-CN"/>
        </w:rPr>
        <w:t>1691.49万元。</w:t>
      </w:r>
    </w:p>
    <w:p>
      <w:pPr>
        <w:keepNext w:val="0"/>
        <w:keepLines w:val="0"/>
        <w:pageBreakBefore w:val="0"/>
        <w:widowControl w:val="0"/>
        <w:kinsoku/>
        <w:wordWrap/>
        <w:overflowPunct/>
        <w:topLinePunct w:val="0"/>
        <w:autoSpaceDE/>
        <w:autoSpaceDN/>
        <w:bidi w:val="0"/>
        <w:spacing w:after="0" w:line="540" w:lineRule="exact"/>
        <w:ind w:firstLine="624" w:firstLineChars="2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（2）项目完成质量。帮助教育、培训工作维护社会稳定</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（3）项目时效。资金执行率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（4）项目成本。项目成本</w:t>
      </w:r>
      <w:r>
        <w:rPr>
          <w:rStyle w:val="19"/>
          <w:rFonts w:hint="eastAsia" w:ascii="仿宋" w:hAnsi="仿宋" w:eastAsia="仿宋"/>
          <w:b w:val="0"/>
          <w:bCs/>
          <w:color w:val="000000" w:themeColor="text1"/>
          <w:spacing w:val="-4"/>
          <w:sz w:val="32"/>
          <w:szCs w:val="32"/>
          <w:lang w:val="en-US" w:eastAsia="zh-CN"/>
        </w:rPr>
        <w:t>1691.49</w:t>
      </w:r>
      <w:r>
        <w:rPr>
          <w:rStyle w:val="19"/>
          <w:rFonts w:hint="eastAsia" w:ascii="仿宋" w:hAnsi="仿宋" w:eastAsia="仿宋"/>
          <w:b w:val="0"/>
          <w:spacing w:val="-4"/>
          <w:sz w:val="32"/>
          <w:szCs w:val="32"/>
          <w:lang w:val="en-US" w:eastAsia="zh-CN"/>
        </w:rPr>
        <w:t>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600" w:lineRule="exact"/>
        <w:ind w:firstLine="627" w:firstLineChars="196"/>
        <w:jc w:val="left"/>
        <w:rPr>
          <w:rFonts w:hint="eastAsia" w:ascii="仿宋" w:hAnsi="仿宋" w:eastAsia="仿宋" w:cs="仿宋"/>
          <w:b w:val="0"/>
          <w:bCs/>
          <w:color w:val="auto"/>
          <w:kern w:val="0"/>
          <w:sz w:val="32"/>
          <w:szCs w:val="32"/>
          <w:lang w:eastAsia="zh-CN"/>
        </w:rPr>
      </w:pP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w:t>
      </w:r>
      <w:r>
        <w:rPr>
          <w:rStyle w:val="19"/>
          <w:rFonts w:hint="eastAsia" w:ascii="仿宋" w:hAnsi="仿宋" w:eastAsia="仿宋"/>
          <w:b w:val="0"/>
          <w:color w:val="000000" w:themeColor="text1"/>
          <w:spacing w:val="-4"/>
          <w:sz w:val="32"/>
          <w:szCs w:val="32"/>
          <w:lang w:eastAsia="zh-CN"/>
        </w:rPr>
        <w:t>改善办公环境，</w:t>
      </w:r>
      <w:r>
        <w:rPr>
          <w:rStyle w:val="19"/>
          <w:rFonts w:hint="eastAsia" w:ascii="仿宋" w:hAnsi="仿宋" w:eastAsia="仿宋"/>
          <w:b w:val="0"/>
          <w:color w:val="000000" w:themeColor="text1"/>
          <w:spacing w:val="-4"/>
          <w:sz w:val="32"/>
          <w:szCs w:val="32"/>
        </w:rPr>
        <w:t>保护人民群众合法权益，维护社会安定稳定，维护社会公平正义</w:t>
      </w:r>
      <w:r>
        <w:rPr>
          <w:rStyle w:val="19"/>
          <w:rFonts w:hint="eastAsia" w:ascii="仿宋" w:hAnsi="仿宋" w:eastAsia="仿宋"/>
          <w:b w:val="0"/>
          <w:color w:val="000000" w:themeColor="text1"/>
          <w:spacing w:val="-4"/>
          <w:sz w:val="32"/>
          <w:szCs w:val="32"/>
          <w:lang w:eastAsia="zh-CN"/>
        </w:rPr>
        <w:t>，</w:t>
      </w:r>
      <w:r>
        <w:rPr>
          <w:rStyle w:val="19"/>
          <w:rFonts w:hint="eastAsia" w:ascii="仿宋" w:hAnsi="仿宋" w:eastAsia="仿宋"/>
          <w:b w:val="0"/>
          <w:color w:val="000000" w:themeColor="text1"/>
          <w:spacing w:val="-4"/>
          <w:sz w:val="32"/>
          <w:szCs w:val="32"/>
        </w:rPr>
        <w:t>促进了社会公平正义与和谐进步。</w:t>
      </w:r>
      <w:r>
        <w:rPr>
          <w:rFonts w:hint="eastAsia" w:ascii="仿宋" w:hAnsi="仿宋" w:eastAsia="仿宋" w:cs="仿宋"/>
          <w:b w:val="0"/>
          <w:bCs/>
          <w:color w:val="auto"/>
          <w:kern w:val="0"/>
          <w:sz w:val="32"/>
          <w:szCs w:val="32"/>
          <w:lang w:eastAsia="zh-CN"/>
        </w:rPr>
        <w:t>已完成该项指标，完成率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spacing w:after="0" w:line="540" w:lineRule="exact"/>
        <w:ind w:firstLine="624" w:firstLineChars="200"/>
        <w:textAlignment w:val="auto"/>
        <w:outlineLvl w:val="9"/>
        <w:rPr>
          <w:rStyle w:val="19"/>
          <w:rFonts w:hint="eastAsia" w:ascii="仿宋" w:hAnsi="仿宋" w:eastAsia="仿宋"/>
          <w:b w:val="0"/>
          <w:color w:val="000000" w:themeColor="text1"/>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hint="eastAsia" w:ascii="仿宋" w:hAnsi="仿宋" w:eastAsia="仿宋"/>
          <w:spacing w:val="-4"/>
          <w:sz w:val="32"/>
          <w:szCs w:val="32"/>
          <w:lang w:val="en-US" w:eastAsia="zh-CN"/>
        </w:rPr>
      </w:pPr>
      <w:r>
        <w:rPr>
          <w:rFonts w:hint="eastAsia" w:ascii="仿宋" w:hAnsi="仿宋" w:eastAsia="仿宋"/>
          <w:spacing w:val="-4"/>
          <w:sz w:val="32"/>
          <w:szCs w:val="32"/>
          <w:lang w:eastAsia="zh-CN"/>
        </w:rPr>
        <w:t>该项目已完成所有设定的绩效目标任务，完成率</w:t>
      </w:r>
      <w:r>
        <w:rPr>
          <w:rFonts w:hint="eastAsia" w:ascii="仿宋" w:hAnsi="仿宋" w:eastAsia="仿宋"/>
          <w:spacing w:val="-4"/>
          <w:sz w:val="32"/>
          <w:szCs w:val="32"/>
          <w:lang w:val="en-US" w:eastAsia="zh-CN"/>
        </w:rPr>
        <w:t>100%，不存在未完成目标值情况。</w:t>
      </w:r>
    </w:p>
    <w:p>
      <w:pPr>
        <w:spacing w:line="540" w:lineRule="exact"/>
        <w:ind w:firstLine="564" w:firstLineChars="181"/>
        <w:rPr>
          <w:rFonts w:ascii="仿宋" w:hAnsi="仿宋" w:eastAsia="仿宋"/>
          <w:spacing w:val="-4"/>
          <w:sz w:val="32"/>
          <w:szCs w:val="32"/>
        </w:rPr>
      </w:pPr>
      <w:bookmarkStart w:id="0" w:name="_GoBack"/>
      <w:bookmarkEnd w:id="0"/>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学习更新相关规定，根据内部管理的需要，明确工作岗位职责和权限</w:t>
      </w:r>
      <w:r>
        <w:rPr>
          <w:rFonts w:hint="eastAsia" w:ascii="仿宋" w:hAnsi="仿宋" w:eastAsia="仿宋"/>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无</w:t>
      </w:r>
    </w:p>
    <w:p>
      <w:pPr>
        <w:numPr>
          <w:ilvl w:val="0"/>
          <w:numId w:val="2"/>
        </w:numPr>
        <w:spacing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jc w:val="both"/>
        <w:rPr>
          <w:rStyle w:val="19"/>
          <w:rFonts w:hint="eastAsia" w:ascii="仿宋" w:hAnsi="仿宋" w:eastAsia="仿宋"/>
          <w:b w:val="0"/>
          <w:spacing w:val="-4"/>
          <w:sz w:val="32"/>
          <w:szCs w:val="32"/>
        </w:rPr>
      </w:pPr>
    </w:p>
    <w:p>
      <w:pPr>
        <w:spacing w:line="540" w:lineRule="exact"/>
        <w:jc w:val="both"/>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253"/>
        <w:gridCol w:w="1807"/>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253"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807"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看守所扩建项目</w:t>
            </w: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1691.49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1691.49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573"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406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573"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实行武装看守，保障安全，对看守所人员进行教育。</w:t>
            </w:r>
            <w:r>
              <w:rPr>
                <w:rFonts w:hint="eastAsia" w:ascii="宋体" w:hAnsi="宋体" w:cs="宋体"/>
                <w:kern w:val="0"/>
                <w:sz w:val="24"/>
              </w:rPr>
              <w:t>充分发挥公安职能，维护社会稳定。</w:t>
            </w:r>
          </w:p>
        </w:tc>
        <w:tc>
          <w:tcPr>
            <w:tcW w:w="4067"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实行武装看守，保障安全，对看守所人员进行教育。</w:t>
            </w:r>
            <w:r>
              <w:rPr>
                <w:rFonts w:hint="eastAsia" w:ascii="宋体" w:hAnsi="宋体" w:cs="宋体"/>
                <w:kern w:val="0"/>
                <w:sz w:val="24"/>
              </w:rPr>
              <w:t>充分发挥公安职能，维护社会稳定。</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57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406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31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57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406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single" w:color="000000"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项目投资金额</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仿宋" w:hAnsi="仿宋" w:eastAsia="仿宋" w:cs="宋体"/>
                <w:kern w:val="0"/>
                <w:sz w:val="24"/>
              </w:rPr>
              <w:t>1691.49</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1691.49</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建筑年限</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1年</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1年</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帮助教育、培训工作</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维护社会稳定</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维护社会稳定</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ind w:firstLine="240" w:firstLineChars="100"/>
              <w:jc w:val="left"/>
              <w:rPr>
                <w:rFonts w:ascii="宋体" w:hAnsi="宋体" w:cs="宋体"/>
                <w:kern w:val="0"/>
                <w:sz w:val="24"/>
              </w:rPr>
            </w:pPr>
            <w:r>
              <w:rPr>
                <w:rFonts w:hint="eastAsia" w:ascii="宋体" w:hAns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1691.49</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1691.49</w:t>
            </w:r>
          </w:p>
        </w:tc>
      </w:tr>
      <w:tr>
        <w:tblPrEx>
          <w:tblCellMar>
            <w:top w:w="0" w:type="dxa"/>
            <w:left w:w="108" w:type="dxa"/>
            <w:bottom w:w="0" w:type="dxa"/>
            <w:right w:w="108" w:type="dxa"/>
          </w:tblCellMar>
        </w:tblPrEx>
        <w:trPr>
          <w:trHeight w:val="66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充分发挥公安职能，维护社会稳定</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CellMar>
            <w:top w:w="0" w:type="dxa"/>
            <w:left w:w="108" w:type="dxa"/>
            <w:bottom w:w="0" w:type="dxa"/>
            <w:right w:w="108" w:type="dxa"/>
          </w:tblCellMar>
        </w:tblPrEx>
        <w:trPr>
          <w:trHeight w:val="40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项目持续时长</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8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B0802"/>
    <w:multiLevelType w:val="singleLevel"/>
    <w:tmpl w:val="87CB0802"/>
    <w:lvl w:ilvl="0" w:tentative="0">
      <w:start w:val="2"/>
      <w:numFmt w:val="decimal"/>
      <w:suff w:val="nothing"/>
      <w:lvlText w:val="%1、"/>
      <w:lvlJc w:val="left"/>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977E8"/>
    <w:rsid w:val="003337E0"/>
    <w:rsid w:val="003C18BC"/>
    <w:rsid w:val="00412E2B"/>
    <w:rsid w:val="004366A8"/>
    <w:rsid w:val="00464900"/>
    <w:rsid w:val="00502BA7"/>
    <w:rsid w:val="005162F1"/>
    <w:rsid w:val="00535153"/>
    <w:rsid w:val="00542434"/>
    <w:rsid w:val="00554F82"/>
    <w:rsid w:val="0056390D"/>
    <w:rsid w:val="005719B0"/>
    <w:rsid w:val="005C50AE"/>
    <w:rsid w:val="005D10D6"/>
    <w:rsid w:val="006F709F"/>
    <w:rsid w:val="007806A5"/>
    <w:rsid w:val="007A7588"/>
    <w:rsid w:val="007C5E51"/>
    <w:rsid w:val="007D1D4C"/>
    <w:rsid w:val="00813101"/>
    <w:rsid w:val="00855E3A"/>
    <w:rsid w:val="008858F2"/>
    <w:rsid w:val="008D24C5"/>
    <w:rsid w:val="008F7A1D"/>
    <w:rsid w:val="0090131E"/>
    <w:rsid w:val="00922CB9"/>
    <w:rsid w:val="009C4E03"/>
    <w:rsid w:val="009E5CD9"/>
    <w:rsid w:val="009F4AB5"/>
    <w:rsid w:val="00A26421"/>
    <w:rsid w:val="00A337BA"/>
    <w:rsid w:val="00A4293B"/>
    <w:rsid w:val="00A67D50"/>
    <w:rsid w:val="00A8691A"/>
    <w:rsid w:val="00AA2202"/>
    <w:rsid w:val="00AC1946"/>
    <w:rsid w:val="00AF2231"/>
    <w:rsid w:val="00AF2A5E"/>
    <w:rsid w:val="00B40063"/>
    <w:rsid w:val="00B41F61"/>
    <w:rsid w:val="00B61316"/>
    <w:rsid w:val="00BA46E6"/>
    <w:rsid w:val="00C0322F"/>
    <w:rsid w:val="00C03DB7"/>
    <w:rsid w:val="00C042BC"/>
    <w:rsid w:val="00C56C72"/>
    <w:rsid w:val="00C6500F"/>
    <w:rsid w:val="00CA6457"/>
    <w:rsid w:val="00CB5B2B"/>
    <w:rsid w:val="00CC4FD7"/>
    <w:rsid w:val="00D17F2E"/>
    <w:rsid w:val="00D209D1"/>
    <w:rsid w:val="00D2223F"/>
    <w:rsid w:val="00D30354"/>
    <w:rsid w:val="00D82C00"/>
    <w:rsid w:val="00DF42A0"/>
    <w:rsid w:val="00E01899"/>
    <w:rsid w:val="00E0665E"/>
    <w:rsid w:val="00E46C51"/>
    <w:rsid w:val="00E61493"/>
    <w:rsid w:val="00E769FE"/>
    <w:rsid w:val="00EA2CBE"/>
    <w:rsid w:val="00EE7710"/>
    <w:rsid w:val="00EF2659"/>
    <w:rsid w:val="00F2607F"/>
    <w:rsid w:val="00F32FEE"/>
    <w:rsid w:val="00FB10BB"/>
    <w:rsid w:val="00FD0AD7"/>
    <w:rsid w:val="00FF581E"/>
    <w:rsid w:val="16315CE1"/>
    <w:rsid w:val="1C994B15"/>
    <w:rsid w:val="3D976785"/>
    <w:rsid w:val="546755B8"/>
    <w:rsid w:val="54EF25D9"/>
    <w:rsid w:val="553C40C4"/>
    <w:rsid w:val="63C42FF6"/>
    <w:rsid w:val="73A07DEB"/>
    <w:rsid w:val="77E339C9"/>
    <w:rsid w:val="78DA34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351</Words>
  <Characters>2001</Characters>
  <Lines>16</Lines>
  <Paragraphs>4</Paragraphs>
  <TotalTime>0</TotalTime>
  <ScaleCrop>false</ScaleCrop>
  <LinksUpToDate>false</LinksUpToDate>
  <CharactersWithSpaces>2348</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2019-10-25T12:47:59Z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