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项目名称：广东地派出所工程项目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bCs/>
          <w:spacing w:val="-4"/>
          <w:sz w:val="32"/>
          <w:szCs w:val="32"/>
        </w:rPr>
      </w:pP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一、项目概况</w:t>
      </w:r>
    </w:p>
    <w:p>
      <w:pPr>
        <w:spacing w:line="540" w:lineRule="exact"/>
        <w:ind w:firstLine="567"/>
        <w:rPr>
          <w:rStyle w:val="19"/>
          <w:rFonts w:ascii="楷体" w:hAnsi="楷体" w:eastAsia="楷体"/>
          <w:bCs/>
          <w:spacing w:val="-4"/>
          <w:sz w:val="32"/>
          <w:szCs w:val="32"/>
        </w:rPr>
      </w:pPr>
      <w:r>
        <w:rPr>
          <w:rStyle w:val="19"/>
          <w:rFonts w:hint="eastAsia" w:ascii="楷体" w:hAnsi="楷体" w:eastAsia="楷体"/>
          <w:bCs/>
          <w:spacing w:val="-4"/>
          <w:sz w:val="32"/>
          <w:szCs w:val="32"/>
        </w:rPr>
        <w:t>（一）项目单位基本情况</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主要职能：（1）、保持严打高压，继续深化对敌斗争；（2）、坚持多措并举，强化社会治安防控；（3）、坚持综合施策，强化行政服务管理；（4）、深化四项建设，打牢公安基层基础</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机构情况：我单位机构数1个、共有职能部门30个。</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（二）项目预算绩效目标设定情况</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改善办公环境，从而提高办公效率，提高接警处置效率，充分发挥公安职能，维护社会稳定。</w:t>
      </w:r>
    </w:p>
    <w:p>
      <w:pPr>
        <w:spacing w:after="0" w:line="540" w:lineRule="exact"/>
        <w:ind w:firstLine="564" w:firstLineChars="181"/>
        <w:rPr>
          <w:rStyle w:val="19"/>
          <w:rFonts w:hint="eastAsia" w:ascii="仿宋" w:hAnsi="仿宋" w:eastAsia="仿宋"/>
          <w:b w:val="0"/>
          <w:bCs/>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bCs/>
          <w:spacing w:val="-4"/>
          <w:sz w:val="32"/>
          <w:szCs w:val="32"/>
        </w:rPr>
        <w:t>经费主要用于我局广东地派出所建设项目工程款及前期费用</w:t>
      </w:r>
      <w:r>
        <w:rPr>
          <w:rStyle w:val="19"/>
          <w:rFonts w:hint="eastAsia" w:ascii="仿宋" w:hAnsi="仿宋" w:eastAsia="仿宋"/>
          <w:b w:val="0"/>
          <w:bCs/>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本项目共设置一级指标3个、二级指标9个、三级指标11个指标。</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二、项目资金使用及管理情况</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（一）项目资金安排落实、总投入等情况分析</w:t>
      </w:r>
    </w:p>
    <w:p>
      <w:pPr>
        <w:spacing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spacing w:val="-4"/>
          <w:sz w:val="32"/>
          <w:szCs w:val="32"/>
          <w:lang w:eastAsia="zh-CN"/>
        </w:rPr>
        <w:t>玛纳斯县公安局广东地派出所工程项目</w:t>
      </w:r>
      <w:r>
        <w:rPr>
          <w:rStyle w:val="19"/>
          <w:rFonts w:hint="eastAsia" w:ascii="仿宋" w:hAnsi="仿宋" w:eastAsia="仿宋"/>
          <w:b w:val="0"/>
          <w:spacing w:val="-4"/>
          <w:sz w:val="32"/>
          <w:szCs w:val="32"/>
          <w:lang w:val="en-US" w:eastAsia="zh-CN"/>
        </w:rPr>
        <w:t>2018年安排总金额150.11万元。项目资金为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150.11万元，</w:t>
      </w:r>
      <w:r>
        <w:rPr>
          <w:rStyle w:val="19"/>
          <w:rFonts w:hint="eastAsia" w:ascii="仿宋" w:hAnsi="仿宋" w:eastAsia="仿宋"/>
          <w:b w:val="0"/>
          <w:spacing w:val="-4"/>
          <w:sz w:val="32"/>
          <w:szCs w:val="32"/>
          <w:lang w:eastAsia="zh-CN"/>
        </w:rPr>
        <w:t>根据公安厅下达资金指标，由我局统一向财政局申请</w:t>
      </w:r>
      <w:r>
        <w:rPr>
          <w:rFonts w:hint="eastAsia" w:ascii="仿宋" w:hAnsi="仿宋" w:eastAsia="仿宋"/>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（二）项目资金实际使用情况分析</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广东地派出所工程款支付150.11万元。</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（三）项目资金管理情况分析</w:t>
      </w:r>
    </w:p>
    <w:p>
      <w:pPr>
        <w:spacing w:line="540" w:lineRule="exact"/>
        <w:ind w:firstLine="564" w:firstLineChars="181"/>
        <w:rPr>
          <w:rStyle w:val="19"/>
          <w:rFonts w:hint="eastAsia" w:ascii="仿宋" w:hAnsi="仿宋" w:eastAsia="仿宋"/>
          <w:b w:val="0"/>
          <w:spacing w:val="-4"/>
          <w:sz w:val="32"/>
          <w:szCs w:val="32"/>
        </w:rPr>
      </w:pPr>
      <w:r>
        <w:rPr>
          <w:rFonts w:hint="eastAsia" w:ascii="仿宋" w:hAnsi="仿宋" w:eastAsia="仿宋"/>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ind w:firstLine="564" w:firstLineChars="181"/>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三、项目组织实施情况</w:t>
      </w:r>
    </w:p>
    <w:p>
      <w:pPr>
        <w:spacing w:line="540" w:lineRule="exact"/>
        <w:ind w:firstLine="567" w:firstLineChars="181"/>
        <w:rPr>
          <w:rStyle w:val="19"/>
          <w:rFonts w:ascii="楷体" w:hAnsi="楷体" w:eastAsia="楷体"/>
          <w:bCs/>
          <w:spacing w:val="-4"/>
          <w:sz w:val="32"/>
          <w:szCs w:val="32"/>
        </w:rPr>
      </w:pPr>
      <w:r>
        <w:rPr>
          <w:rStyle w:val="19"/>
          <w:rFonts w:hint="eastAsia" w:ascii="楷体" w:hAnsi="楷体" w:eastAsia="楷体"/>
          <w:bCs/>
          <w:spacing w:val="-4"/>
          <w:sz w:val="32"/>
          <w:szCs w:val="32"/>
        </w:rPr>
        <w:t>（一）项目组织情况分析</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项目投标情况：我局广东地派出所项目已进行投标手续，并且中标手续已存档我局资金使用严格执行我局各项规章制度，资金落实到位，不拖欠，不做项目外的其他支出。2018年项目资金无调整情况。</w:t>
      </w:r>
    </w:p>
    <w:p>
      <w:pPr>
        <w:spacing w:line="540" w:lineRule="exact"/>
        <w:ind w:firstLine="567" w:firstLineChars="181"/>
        <w:rPr>
          <w:rStyle w:val="19"/>
          <w:rFonts w:ascii="仿宋" w:hAnsi="仿宋" w:eastAsia="仿宋"/>
          <w:b w:val="0"/>
          <w:bCs/>
          <w:spacing w:val="-4"/>
          <w:sz w:val="32"/>
          <w:szCs w:val="32"/>
        </w:rPr>
      </w:pPr>
      <w:r>
        <w:rPr>
          <w:rStyle w:val="19"/>
          <w:rFonts w:hint="eastAsia" w:ascii="楷体" w:hAnsi="楷体" w:eastAsia="楷体"/>
          <w:bCs/>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640"/>
        <w:rPr>
          <w:rFonts w:hint="eastAsia" w:ascii="仿宋" w:hAnsi="仿宋" w:eastAsia="仿宋"/>
          <w:spacing w:val="-4"/>
          <w:sz w:val="32"/>
          <w:szCs w:val="32"/>
        </w:rPr>
      </w:pPr>
      <w:r>
        <w:rPr>
          <w:rFonts w:hint="eastAsia" w:ascii="仿宋" w:hAnsi="仿宋" w:eastAsia="仿宋"/>
          <w:spacing w:val="-4"/>
          <w:sz w:val="32"/>
          <w:szCs w:val="32"/>
          <w:lang w:val="en-US" w:eastAsia="zh-CN"/>
        </w:rPr>
        <w:t>2</w:t>
      </w:r>
      <w:bookmarkStart w:id="0" w:name="_GoBack"/>
      <w:bookmarkEnd w:id="0"/>
      <w:r>
        <w:rPr>
          <w:rFonts w:hint="eastAsia" w:ascii="仿宋" w:hAnsi="仿宋" w:eastAsia="仿宋"/>
          <w:spacing w:val="-4"/>
          <w:sz w:val="32"/>
          <w:szCs w:val="32"/>
        </w:rPr>
        <w:t>、</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bCs/>
        </w:rPr>
      </w:pPr>
      <w:r>
        <w:rPr>
          <w:rStyle w:val="19"/>
          <w:rFonts w:hint="eastAsia" w:ascii="黑体" w:hAnsi="黑体" w:eastAsia="黑体"/>
          <w:b w:val="0"/>
          <w:bCs/>
          <w:spacing w:val="-4"/>
          <w:sz w:val="32"/>
          <w:szCs w:val="32"/>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本项目共设置一级指标3个、二级指标9个、三级指标11个指标。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11</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（1）项目完成数量。项目投资金额150.11万元，建筑年限1年，完成率100%。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 提高办事效率和质量，方便群众办事，群众满意度明显提高，完成率100%。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（4）项目成本。上级专项资金金额</w:t>
      </w:r>
      <w:r>
        <w:rPr>
          <w:rStyle w:val="19"/>
          <w:rFonts w:hint="eastAsia" w:ascii="仿宋" w:hAnsi="仿宋" w:eastAsia="仿宋"/>
          <w:b w:val="0"/>
          <w:spacing w:val="-4"/>
          <w:sz w:val="32"/>
          <w:szCs w:val="32"/>
          <w:lang w:val="en-US" w:eastAsia="zh-CN"/>
        </w:rPr>
        <w:t>150.11万元，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lang w:eastAsia="zh-CN"/>
        </w:rPr>
      </w:pPr>
      <w:r>
        <w:rPr>
          <w:rStyle w:val="19"/>
          <w:rFonts w:hint="eastAsia" w:ascii="仿宋" w:hAnsi="仿宋" w:eastAsia="仿宋"/>
          <w:b/>
          <w:bCs w:val="0"/>
          <w:spacing w:val="-4"/>
          <w:sz w:val="32"/>
          <w:szCs w:val="32"/>
          <w:highlight w:val="none"/>
          <w:lang w:eastAsia="zh-CN"/>
        </w:rPr>
        <w:t>2、效益指标完成情况分析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（1）项目实施的社会效益指标。提高接警处置效率，充分发挥公安职能，维护社会稳定，提升公安形象，改善办公环境，方便群众办事，群众满意度明显提高，完成率100%。</w:t>
      </w:r>
    </w:p>
    <w:p>
      <w:pPr>
        <w:spacing w:line="540" w:lineRule="exact"/>
        <w:ind w:firstLine="564" w:firstLineChars="181"/>
        <w:rPr>
          <w:rFonts w:hint="eastAsia" w:ascii="仿宋" w:hAnsi="仿宋" w:eastAsia="仿宋" w:cs="仿宋"/>
          <w:b w:val="0"/>
          <w:bCs/>
          <w:color w:val="auto"/>
          <w:kern w:val="0"/>
          <w:sz w:val="32"/>
          <w:szCs w:val="32"/>
          <w:lang w:eastAsia="zh-CN"/>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lang w:eastAsia="zh-CN"/>
        </w:rPr>
        <w:t>项目实施的可持续影响分析。预计该项目</w:t>
      </w:r>
      <w:r>
        <w:rPr>
          <w:rStyle w:val="19"/>
          <w:rFonts w:hint="eastAsia" w:ascii="仿宋" w:hAnsi="仿宋" w:eastAsia="仿宋"/>
          <w:b w:val="0"/>
          <w:spacing w:val="-4"/>
          <w:sz w:val="32"/>
          <w:szCs w:val="32"/>
          <w:lang w:val="en-US" w:eastAsia="zh-CN"/>
        </w:rPr>
        <w:t>长期维护社会面管控</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加强法律打击力度，维护社会稳定满意度，该项目指标全部完成，预计群众满意度＞95%，实际群众满意度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spacing w:line="540" w:lineRule="exact"/>
        <w:ind w:firstLine="579" w:firstLineChars="181"/>
        <w:rPr>
          <w:rFonts w:hint="eastAsia" w:ascii="楷体" w:hAnsi="楷体" w:eastAsia="楷体"/>
          <w:b/>
          <w:spacing w:val="-4"/>
          <w:sz w:val="32"/>
          <w:szCs w:val="32"/>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违法犯罪行为，保护了</w:t>
      </w:r>
      <w:r>
        <w:rPr>
          <w:rFonts w:hint="eastAsia" w:ascii="仿宋" w:hAnsi="仿宋" w:eastAsia="仿宋"/>
          <w:spacing w:val="-4"/>
          <w:sz w:val="32"/>
          <w:szCs w:val="32"/>
          <w:lang w:eastAsia="zh-CN"/>
        </w:rPr>
        <w:t>公民合法权益</w:t>
      </w:r>
      <w:r>
        <w:rPr>
          <w:rFonts w:hint="eastAsia" w:ascii="仿宋" w:hAnsi="仿宋" w:eastAsia="仿宋"/>
          <w:spacing w:val="-4"/>
          <w:sz w:val="32"/>
          <w:szCs w:val="32"/>
        </w:rPr>
        <w:t>，抑制了犯罪数，维护社会稳定和经济发展。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项目工作实施后，</w:t>
      </w:r>
      <w:r>
        <w:rPr>
          <w:rStyle w:val="19"/>
          <w:rFonts w:hint="eastAsia" w:ascii="仿宋" w:hAnsi="仿宋" w:eastAsia="仿宋"/>
          <w:b w:val="0"/>
          <w:spacing w:val="-4"/>
          <w:sz w:val="32"/>
          <w:szCs w:val="32"/>
          <w:lang w:eastAsia="zh-CN"/>
        </w:rPr>
        <w:t>广东地派出所项目存在管理制度不健全，建设管理不够严格，影响</w:t>
      </w:r>
      <w:r>
        <w:rPr>
          <w:rStyle w:val="19"/>
          <w:rFonts w:hint="eastAsia" w:ascii="仿宋" w:hAnsi="仿宋" w:eastAsia="仿宋"/>
          <w:b w:val="0"/>
          <w:spacing w:val="-4"/>
          <w:sz w:val="32"/>
          <w:szCs w:val="32"/>
        </w:rPr>
        <w:t>预定的绩效目标。</w:t>
      </w:r>
    </w:p>
    <w:p>
      <w:pPr>
        <w:numPr>
          <w:ilvl w:val="0"/>
          <w:numId w:val="2"/>
        </w:numPr>
        <w:spacing w:line="540" w:lineRule="exact"/>
        <w:ind w:left="0" w:leftChars="0"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六、项目评价工作情况</w:t>
      </w:r>
    </w:p>
    <w:p>
      <w:pPr>
        <w:spacing w:after="0" w:line="540" w:lineRule="exact"/>
        <w:ind w:firstLine="564" w:firstLineChars="181"/>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640"/>
        <w:rPr>
          <w:rStyle w:val="19"/>
          <w:rFonts w:ascii="黑体" w:hAnsi="黑体" w:eastAsia="黑体"/>
          <w:b w:val="0"/>
          <w:bCs/>
          <w:spacing w:val="-4"/>
          <w:sz w:val="32"/>
          <w:szCs w:val="32"/>
        </w:rPr>
      </w:pPr>
      <w:r>
        <w:rPr>
          <w:rStyle w:val="19"/>
          <w:rFonts w:hint="eastAsia" w:ascii="黑体" w:hAnsi="黑体" w:eastAsia="黑体"/>
          <w:b w:val="0"/>
          <w:bCs/>
          <w:spacing w:val="-4"/>
          <w:sz w:val="32"/>
          <w:szCs w:val="32"/>
        </w:rPr>
        <w:t>七、附表</w:t>
      </w:r>
    </w:p>
    <w:p>
      <w:pPr>
        <w:spacing w:line="540" w:lineRule="exact"/>
        <w:ind w:firstLine="567"/>
        <w:rPr>
          <w:rStyle w:val="19"/>
          <w:rFonts w:hint="eastAsia" w:ascii="仿宋" w:hAnsi="仿宋" w:eastAsia="仿宋"/>
          <w:b w:val="0"/>
          <w:bCs/>
          <w:spacing w:val="-4"/>
          <w:sz w:val="32"/>
          <w:szCs w:val="32"/>
        </w:rPr>
      </w:pPr>
      <w:r>
        <w:rPr>
          <w:rStyle w:val="19"/>
          <w:rFonts w:hint="eastAsia" w:ascii="仿宋" w:hAnsi="仿宋" w:eastAsia="仿宋"/>
          <w:b w:val="0"/>
          <w:bCs/>
          <w:spacing w:val="-4"/>
          <w:sz w:val="32"/>
          <w:szCs w:val="32"/>
        </w:rPr>
        <w:t>《玛纳斯县财政项目支出绩效自评表》</w:t>
      </w:r>
    </w:p>
    <w:p>
      <w:pPr>
        <w:spacing w:line="540" w:lineRule="exact"/>
        <w:ind w:firstLine="567"/>
        <w:rPr>
          <w:rStyle w:val="19"/>
          <w:rFonts w:hint="eastAsia" w:ascii="仿宋" w:hAnsi="仿宋" w:eastAsia="仿宋"/>
          <w:b w:val="0"/>
          <w:bCs/>
          <w:spacing w:val="-4"/>
          <w:sz w:val="32"/>
          <w:szCs w:val="32"/>
        </w:rPr>
      </w:pPr>
    </w:p>
    <w:p>
      <w:pPr>
        <w:spacing w:line="540" w:lineRule="exact"/>
        <w:ind w:firstLine="567"/>
        <w:rPr>
          <w:rStyle w:val="19"/>
          <w:rFonts w:hint="eastAsia" w:ascii="仿宋" w:hAnsi="仿宋" w:eastAsia="仿宋"/>
          <w:b w:val="0"/>
          <w:bCs/>
          <w:spacing w:val="-4"/>
          <w:sz w:val="32"/>
          <w:szCs w:val="32"/>
        </w:rPr>
      </w:pPr>
    </w:p>
    <w:p>
      <w:pPr>
        <w:spacing w:line="540" w:lineRule="exact"/>
        <w:ind w:firstLine="567"/>
        <w:rPr>
          <w:rStyle w:val="19"/>
          <w:rFonts w:hint="eastAsia" w:ascii="仿宋" w:hAnsi="仿宋" w:eastAsia="仿宋"/>
          <w:b w:val="0"/>
          <w:bCs/>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680"/>
        <w:gridCol w:w="2380"/>
        <w:gridCol w:w="2260"/>
      </w:tblGrid>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left"/>
              <w:rPr>
                <w:rFonts w:ascii="宋体" w:cs="宋体"/>
                <w:kern w:val="0"/>
                <w:sz w:val="24"/>
              </w:rPr>
            </w:pPr>
          </w:p>
        </w:tc>
        <w:tc>
          <w:tcPr>
            <w:tcW w:w="1300" w:type="dxa"/>
            <w:tcBorders>
              <w:top w:val="nil"/>
              <w:left w:val="nil"/>
              <w:bottom w:val="nil"/>
              <w:right w:val="nil"/>
            </w:tcBorders>
            <w:vAlign w:val="center"/>
          </w:tcPr>
          <w:p>
            <w:pPr>
              <w:widowControl/>
              <w:jc w:val="left"/>
              <w:rPr>
                <w:rFonts w:ascii="宋体" w:cs="宋体"/>
                <w:kern w:val="0"/>
                <w:sz w:val="24"/>
              </w:rPr>
            </w:pPr>
          </w:p>
        </w:tc>
        <w:tc>
          <w:tcPr>
            <w:tcW w:w="1400" w:type="dxa"/>
            <w:tcBorders>
              <w:top w:val="nil"/>
              <w:left w:val="nil"/>
              <w:bottom w:val="nil"/>
              <w:right w:val="nil"/>
            </w:tcBorders>
            <w:vAlign w:val="center"/>
          </w:tcPr>
          <w:p>
            <w:pPr>
              <w:widowControl/>
              <w:jc w:val="left"/>
              <w:rPr>
                <w:rFonts w:ascii="宋体" w:cs="宋体"/>
                <w:kern w:val="0"/>
                <w:sz w:val="24"/>
              </w:rPr>
            </w:pPr>
          </w:p>
        </w:tc>
        <w:tc>
          <w:tcPr>
            <w:tcW w:w="620" w:type="dxa"/>
            <w:tcBorders>
              <w:top w:val="nil"/>
              <w:left w:val="nil"/>
              <w:bottom w:val="nil"/>
              <w:right w:val="nil"/>
            </w:tcBorders>
            <w:vAlign w:val="center"/>
          </w:tcPr>
          <w:p>
            <w:pPr>
              <w:widowControl/>
              <w:jc w:val="left"/>
              <w:rPr>
                <w:rFonts w:ascii="宋体" w:cs="宋体"/>
                <w:kern w:val="0"/>
                <w:sz w:val="24"/>
              </w:rPr>
            </w:pPr>
          </w:p>
        </w:tc>
        <w:tc>
          <w:tcPr>
            <w:tcW w:w="680" w:type="dxa"/>
            <w:tcBorders>
              <w:top w:val="nil"/>
              <w:left w:val="nil"/>
              <w:bottom w:val="nil"/>
              <w:right w:val="nil"/>
            </w:tcBorders>
            <w:vAlign w:val="center"/>
          </w:tcPr>
          <w:p>
            <w:pPr>
              <w:widowControl/>
              <w:jc w:val="left"/>
              <w:rPr>
                <w:rFonts w:ascii="宋体" w:cs="宋体"/>
                <w:kern w:val="0"/>
                <w:sz w:val="24"/>
              </w:rPr>
            </w:pPr>
          </w:p>
        </w:tc>
        <w:tc>
          <w:tcPr>
            <w:tcW w:w="2380" w:type="dxa"/>
            <w:tcBorders>
              <w:top w:val="nil"/>
              <w:left w:val="nil"/>
              <w:bottom w:val="nil"/>
              <w:right w:val="nil"/>
            </w:tcBorders>
            <w:vAlign w:val="center"/>
          </w:tcPr>
          <w:p>
            <w:pPr>
              <w:widowControl/>
              <w:jc w:val="left"/>
              <w:rPr>
                <w:rFonts w:ascii="宋体" w:cs="宋体"/>
                <w:kern w:val="0"/>
                <w:sz w:val="24"/>
              </w:rPr>
            </w:pPr>
          </w:p>
        </w:tc>
        <w:tc>
          <w:tcPr>
            <w:tcW w:w="2260" w:type="dxa"/>
            <w:tcBorders>
              <w:top w:val="nil"/>
              <w:left w:val="nil"/>
              <w:bottom w:val="nil"/>
              <w:right w:val="nil"/>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广东地派出所工程项目建设</w:t>
            </w: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预算数：</w:t>
            </w:r>
          </w:p>
        </w:tc>
        <w:tc>
          <w:tcPr>
            <w:tcW w:w="13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cs="宋体"/>
                <w:kern w:val="0"/>
                <w:sz w:val="24"/>
              </w:rPr>
              <w:t>0</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执行数：</w:t>
            </w:r>
          </w:p>
        </w:tc>
        <w:tc>
          <w:tcPr>
            <w:tcW w:w="2260"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hAnsi="宋体" w:cs="宋体"/>
                <w:kern w:val="0"/>
                <w:sz w:val="24"/>
              </w:rPr>
              <w:t>150.11</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7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13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cs="宋体"/>
                <w:kern w:val="0"/>
                <w:sz w:val="24"/>
              </w:rPr>
              <w:t>0</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2260"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hAnsi="宋体" w:cs="宋体"/>
                <w:kern w:val="0"/>
                <w:sz w:val="24"/>
              </w:rPr>
              <w:t>150.11</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7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13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cs="宋体"/>
                <w:kern w:val="0"/>
                <w:sz w:val="24"/>
              </w:rPr>
              <w:t>0</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年度目标完成情况</w:t>
            </w:r>
          </w:p>
        </w:tc>
        <w:tc>
          <w:tcPr>
            <w:tcW w:w="40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预期目标</w:t>
            </w:r>
          </w:p>
        </w:tc>
        <w:tc>
          <w:tcPr>
            <w:tcW w:w="464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000" w:type="dxa"/>
            <w:gridSpan w:val="4"/>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改善办公环境，从而提高办公效率，提高接警处置效率，充分发挥公安职能，维护社会稳定。</w:t>
            </w:r>
          </w:p>
        </w:tc>
        <w:tc>
          <w:tcPr>
            <w:tcW w:w="464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改善办公环境，从而提高办公效率，提高接警处置效率，充分发挥公安职能，维护社会稳定。</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0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464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0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464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二级指标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三级指标</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数量指标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项目投资金额</w:t>
            </w:r>
          </w:p>
        </w:tc>
        <w:tc>
          <w:tcPr>
            <w:tcW w:w="238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hAnsi="宋体" w:cs="宋体"/>
                <w:kern w:val="0"/>
                <w:sz w:val="24"/>
                <w:lang w:val="en-US" w:eastAsia="zh-CN"/>
              </w:rPr>
              <w:t>150.11</w:t>
            </w:r>
          </w:p>
        </w:tc>
        <w:tc>
          <w:tcPr>
            <w:tcW w:w="2260" w:type="dxa"/>
            <w:tcBorders>
              <w:top w:val="nil"/>
              <w:left w:val="nil"/>
              <w:bottom w:val="single" w:color="auto" w:sz="4" w:space="0"/>
              <w:right w:val="single" w:color="auto" w:sz="4" w:space="0"/>
            </w:tcBorders>
            <w:vAlign w:val="center"/>
          </w:tcPr>
          <w:p>
            <w:pPr>
              <w:widowControl/>
              <w:jc w:val="left"/>
              <w:rPr>
                <w:rFonts w:hint="default" w:ascii="宋体" w:eastAsia="宋体" w:cs="宋体"/>
                <w:color w:val="FF0000"/>
                <w:kern w:val="0"/>
                <w:sz w:val="24"/>
                <w:lang w:val="en-US" w:eastAsia="zh-CN"/>
              </w:rPr>
            </w:pPr>
            <w:r>
              <w:rPr>
                <w:rFonts w:hint="eastAsia" w:ascii="宋体" w:hAnsi="宋体" w:cs="宋体"/>
                <w:color w:val="FF0000"/>
                <w:kern w:val="0"/>
                <w:sz w:val="24"/>
                <w:lang w:val="en-US" w:eastAsia="zh-CN"/>
              </w:rPr>
              <w:t>150.11</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建筑年限</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val="en-US" w:eastAsia="zh-CN"/>
              </w:rPr>
              <w:t>1年</w:t>
            </w:r>
          </w:p>
        </w:tc>
        <w:tc>
          <w:tcPr>
            <w:tcW w:w="2260" w:type="dxa"/>
            <w:tcBorders>
              <w:top w:val="nil"/>
              <w:left w:val="nil"/>
              <w:bottom w:val="single" w:color="auto" w:sz="4" w:space="0"/>
              <w:right w:val="single" w:color="auto" w:sz="4" w:space="0"/>
            </w:tcBorders>
            <w:vAlign w:val="center"/>
          </w:tcPr>
          <w:p>
            <w:pPr>
              <w:widowControl/>
              <w:jc w:val="left"/>
              <w:rPr>
                <w:rFonts w:ascii="宋体" w:cs="宋体"/>
                <w:color w:val="FF0000"/>
                <w:kern w:val="0"/>
                <w:sz w:val="24"/>
              </w:rPr>
            </w:pPr>
            <w:r>
              <w:rPr>
                <w:rFonts w:hint="eastAsia" w:ascii="宋体" w:hAnsi="宋体" w:cs="宋体"/>
                <w:kern w:val="0"/>
                <w:sz w:val="24"/>
              </w:rPr>
              <w:t xml:space="preserve"> </w:t>
            </w:r>
            <w:r>
              <w:rPr>
                <w:rFonts w:hint="eastAsia" w:ascii="宋体" w:hAnsi="宋体" w:cs="宋体"/>
                <w:color w:val="000000" w:themeColor="text1"/>
                <w:kern w:val="0"/>
                <w:sz w:val="24"/>
                <w:lang w:val="en-US" w:eastAsia="zh-CN"/>
              </w:rPr>
              <w:t>1</w:t>
            </w:r>
            <w:r>
              <w:rPr>
                <w:rFonts w:hint="eastAsia" w:ascii="宋体" w:hAnsi="宋体" w:cs="宋体"/>
                <w:color w:val="000000" w:themeColor="text1"/>
                <w:kern w:val="0"/>
                <w:sz w:val="24"/>
              </w:rPr>
              <w:t>年</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nil"/>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质量指标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提高办事效率和质量，方便群众办事</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时效指标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资金执行率</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vAlign w:val="center"/>
          </w:tcPr>
          <w:p>
            <w:pPr>
              <w:widowControl/>
              <w:ind w:firstLine="240" w:firstLineChars="100"/>
              <w:jc w:val="left"/>
              <w:rPr>
                <w:rFonts w:ascii="宋体" w:cs="宋体"/>
                <w:kern w:val="0"/>
                <w:sz w:val="24"/>
              </w:rPr>
            </w:pPr>
            <w:r>
              <w:rPr>
                <w:rFonts w:hint="eastAsia" w:ascii="宋体" w:hAns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成本指标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上级专项资金金额</w:t>
            </w:r>
          </w:p>
        </w:tc>
        <w:tc>
          <w:tcPr>
            <w:tcW w:w="2380" w:type="dxa"/>
            <w:tcBorders>
              <w:top w:val="nil"/>
              <w:left w:val="nil"/>
              <w:bottom w:val="single" w:color="auto" w:sz="4" w:space="0"/>
              <w:right w:val="single" w:color="auto" w:sz="4" w:space="0"/>
            </w:tcBorders>
            <w:vAlign w:val="center"/>
          </w:tcPr>
          <w:p>
            <w:pPr>
              <w:widowControl/>
              <w:jc w:val="left"/>
              <w:rPr>
                <w:rFonts w:hint="default" w:ascii="宋体" w:cs="宋体"/>
                <w:kern w:val="0"/>
                <w:sz w:val="24"/>
                <w:lang w:val="en-US"/>
              </w:rPr>
            </w:pPr>
            <w:r>
              <w:rPr>
                <w:rFonts w:hint="eastAsia" w:ascii="宋体" w:hAnsi="宋体" w:cs="宋体"/>
                <w:kern w:val="0"/>
                <w:sz w:val="24"/>
                <w:lang w:val="en-US" w:eastAsia="zh-CN"/>
              </w:rPr>
              <w:t>150.11</w:t>
            </w:r>
          </w:p>
        </w:tc>
        <w:tc>
          <w:tcPr>
            <w:tcW w:w="2260" w:type="dxa"/>
            <w:tcBorders>
              <w:top w:val="nil"/>
              <w:left w:val="nil"/>
              <w:bottom w:val="single" w:color="auto" w:sz="4" w:space="0"/>
              <w:right w:val="single" w:color="auto" w:sz="4" w:space="0"/>
            </w:tcBorders>
            <w:vAlign w:val="center"/>
          </w:tcPr>
          <w:p>
            <w:pPr>
              <w:widowControl/>
              <w:jc w:val="left"/>
              <w:rPr>
                <w:rFonts w:hint="default" w:ascii="宋体" w:cs="宋体"/>
                <w:kern w:val="0"/>
                <w:sz w:val="24"/>
                <w:lang w:val="en-US"/>
              </w:rPr>
            </w:pPr>
            <w:r>
              <w:rPr>
                <w:rFonts w:hint="eastAsia" w:ascii="宋体" w:hAnsi="宋体" w:cs="宋体"/>
                <w:kern w:val="0"/>
                <w:sz w:val="24"/>
                <w:lang w:val="en-US" w:eastAsia="zh-CN"/>
              </w:rPr>
              <w:t>150.11</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经济效益指标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社会效益指标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提高接警处置效率，充分发挥公安职能，维护社会稳定</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提升公安形象</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生态效益指标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指标</w:t>
            </w:r>
            <w:r>
              <w:rPr>
                <w:rFonts w:ascii="宋体" w:hAnsi="宋体" w:cs="宋体"/>
                <w:kern w:val="0"/>
                <w:sz w:val="24"/>
              </w:rPr>
              <w:t>1</w:t>
            </w:r>
            <w:r>
              <w:rPr>
                <w:rFonts w:hint="eastAsia" w:ascii="宋体" w:hAnsi="宋体" w:cs="宋体"/>
                <w:kern w:val="0"/>
                <w:sz w:val="24"/>
              </w:rPr>
              <w:t>：</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400"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可持续影响指标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社会面管控</w:t>
            </w:r>
          </w:p>
        </w:tc>
        <w:tc>
          <w:tcPr>
            <w:tcW w:w="23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长期</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r>
              <w:rPr>
                <w:rFonts w:hint="eastAsia" w:ascii="宋体" w:hAnsi="宋体" w:cs="宋体"/>
                <w:kern w:val="0"/>
                <w:sz w:val="24"/>
                <w:lang w:val="en-US"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1300"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23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bCs/>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微软雅黑"/>
    <w:panose1 w:val="00000000000000000000"/>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3</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B0802"/>
    <w:multiLevelType w:val="singleLevel"/>
    <w:tmpl w:val="87CB0802"/>
    <w:lvl w:ilvl="0" w:tentative="0">
      <w:start w:val="2"/>
      <w:numFmt w:val="decimal"/>
      <w:suff w:val="nothing"/>
      <w:lvlText w:val="%1、"/>
      <w:lvlJc w:val="left"/>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E7402"/>
    <w:rsid w:val="00121AE4"/>
    <w:rsid w:val="00146AAD"/>
    <w:rsid w:val="001B3A40"/>
    <w:rsid w:val="002546B9"/>
    <w:rsid w:val="00296387"/>
    <w:rsid w:val="002977E8"/>
    <w:rsid w:val="002D1E9C"/>
    <w:rsid w:val="003337E0"/>
    <w:rsid w:val="003623E6"/>
    <w:rsid w:val="003C18BC"/>
    <w:rsid w:val="004366A8"/>
    <w:rsid w:val="00464900"/>
    <w:rsid w:val="00502BA7"/>
    <w:rsid w:val="005162F1"/>
    <w:rsid w:val="00535153"/>
    <w:rsid w:val="00542434"/>
    <w:rsid w:val="00554F82"/>
    <w:rsid w:val="0056390D"/>
    <w:rsid w:val="005719B0"/>
    <w:rsid w:val="005A27B0"/>
    <w:rsid w:val="005C50AE"/>
    <w:rsid w:val="005D10D6"/>
    <w:rsid w:val="005D2F61"/>
    <w:rsid w:val="006B73F5"/>
    <w:rsid w:val="006C42DA"/>
    <w:rsid w:val="006F709F"/>
    <w:rsid w:val="00712DE8"/>
    <w:rsid w:val="007806A5"/>
    <w:rsid w:val="007A7588"/>
    <w:rsid w:val="007C5E51"/>
    <w:rsid w:val="007D1D4C"/>
    <w:rsid w:val="00855E3A"/>
    <w:rsid w:val="008858F2"/>
    <w:rsid w:val="008D24C5"/>
    <w:rsid w:val="008F7A1D"/>
    <w:rsid w:val="009074B1"/>
    <w:rsid w:val="00922CB9"/>
    <w:rsid w:val="009C4E03"/>
    <w:rsid w:val="009E5CD9"/>
    <w:rsid w:val="009F4AB5"/>
    <w:rsid w:val="00A26421"/>
    <w:rsid w:val="00A337BA"/>
    <w:rsid w:val="00A4293B"/>
    <w:rsid w:val="00A67D50"/>
    <w:rsid w:val="00A85108"/>
    <w:rsid w:val="00A8691A"/>
    <w:rsid w:val="00AA2202"/>
    <w:rsid w:val="00AC1946"/>
    <w:rsid w:val="00AF2231"/>
    <w:rsid w:val="00B35140"/>
    <w:rsid w:val="00B40063"/>
    <w:rsid w:val="00B41F61"/>
    <w:rsid w:val="00BA46E6"/>
    <w:rsid w:val="00C042BC"/>
    <w:rsid w:val="00C56C72"/>
    <w:rsid w:val="00CA6457"/>
    <w:rsid w:val="00CC4FD7"/>
    <w:rsid w:val="00D17F2E"/>
    <w:rsid w:val="00D209D1"/>
    <w:rsid w:val="00D2223F"/>
    <w:rsid w:val="00D30354"/>
    <w:rsid w:val="00D511A5"/>
    <w:rsid w:val="00D600C2"/>
    <w:rsid w:val="00D82C00"/>
    <w:rsid w:val="00D83E68"/>
    <w:rsid w:val="00DF42A0"/>
    <w:rsid w:val="00E01899"/>
    <w:rsid w:val="00E0665E"/>
    <w:rsid w:val="00E46C51"/>
    <w:rsid w:val="00E5589D"/>
    <w:rsid w:val="00E769FE"/>
    <w:rsid w:val="00EA2CBE"/>
    <w:rsid w:val="00EE7710"/>
    <w:rsid w:val="00EF2659"/>
    <w:rsid w:val="00F2607F"/>
    <w:rsid w:val="00F32FEE"/>
    <w:rsid w:val="00FB10BB"/>
    <w:rsid w:val="00FD0AD7"/>
    <w:rsid w:val="00FF581E"/>
    <w:rsid w:val="021405B8"/>
    <w:rsid w:val="20994D3F"/>
    <w:rsid w:val="2C5F6763"/>
    <w:rsid w:val="2FEA55DA"/>
    <w:rsid w:val="34110B36"/>
    <w:rsid w:val="35607FAA"/>
    <w:rsid w:val="522D15FE"/>
    <w:rsid w:val="553C40C4"/>
    <w:rsid w:val="63C42FF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0"/>
      <w:szCs w:val="20"/>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0"/>
      <w:szCs w:val="20"/>
    </w:rPr>
  </w:style>
  <w:style w:type="character" w:default="1" w:styleId="18">
    <w:name w:val="Default Paragraph Font"/>
    <w:semiHidden/>
    <w:qFormat/>
    <w:uiPriority w:val="99"/>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rPr>
  </w:style>
  <w:style w:type="character" w:styleId="20">
    <w:name w:val="Emphasis"/>
    <w:basedOn w:val="18"/>
    <w:qFormat/>
    <w:uiPriority w:val="99"/>
    <w:rPr>
      <w:rFonts w:ascii="Calibri" w:hAnsi="Calibri" w:cs="Times New Roman"/>
      <w:b/>
      <w:i/>
    </w:rPr>
  </w:style>
  <w:style w:type="character" w:customStyle="1" w:styleId="21">
    <w:name w:val="Heading 1 Char"/>
    <w:basedOn w:val="18"/>
    <w:link w:val="2"/>
    <w:qFormat/>
    <w:locked/>
    <w:uiPriority w:val="99"/>
    <w:rPr>
      <w:rFonts w:ascii="Cambria" w:hAnsi="Cambria" w:eastAsia="宋体"/>
      <w:b/>
      <w:kern w:val="32"/>
      <w:sz w:val="32"/>
    </w:rPr>
  </w:style>
  <w:style w:type="character" w:customStyle="1" w:styleId="22">
    <w:name w:val="Heading 2 Char"/>
    <w:basedOn w:val="18"/>
    <w:link w:val="3"/>
    <w:semiHidden/>
    <w:qFormat/>
    <w:locked/>
    <w:uiPriority w:val="99"/>
    <w:rPr>
      <w:rFonts w:ascii="Cambria" w:hAnsi="Cambria" w:eastAsia="宋体"/>
      <w:b/>
      <w:i/>
      <w:sz w:val="28"/>
    </w:rPr>
  </w:style>
  <w:style w:type="character" w:customStyle="1" w:styleId="23">
    <w:name w:val="Heading 3 Char"/>
    <w:basedOn w:val="18"/>
    <w:link w:val="4"/>
    <w:semiHidden/>
    <w:qFormat/>
    <w:locked/>
    <w:uiPriority w:val="99"/>
    <w:rPr>
      <w:rFonts w:ascii="Cambria" w:hAnsi="Cambria" w:eastAsia="宋体"/>
      <w:b/>
      <w:sz w:val="26"/>
    </w:rPr>
  </w:style>
  <w:style w:type="character" w:customStyle="1" w:styleId="24">
    <w:name w:val="Heading 4 Char"/>
    <w:basedOn w:val="18"/>
    <w:link w:val="5"/>
    <w:semiHidden/>
    <w:qFormat/>
    <w:locked/>
    <w:uiPriority w:val="99"/>
    <w:rPr>
      <w:b/>
      <w:sz w:val="28"/>
    </w:rPr>
  </w:style>
  <w:style w:type="character" w:customStyle="1" w:styleId="25">
    <w:name w:val="Heading 5 Char"/>
    <w:basedOn w:val="18"/>
    <w:link w:val="6"/>
    <w:semiHidden/>
    <w:qFormat/>
    <w:locked/>
    <w:uiPriority w:val="99"/>
    <w:rPr>
      <w:b/>
      <w:i/>
      <w:sz w:val="26"/>
    </w:rPr>
  </w:style>
  <w:style w:type="character" w:customStyle="1" w:styleId="26">
    <w:name w:val="Heading 6 Char"/>
    <w:basedOn w:val="18"/>
    <w:link w:val="7"/>
    <w:semiHidden/>
    <w:qFormat/>
    <w:locked/>
    <w:uiPriority w:val="99"/>
    <w:rPr>
      <w:b/>
    </w:rPr>
  </w:style>
  <w:style w:type="character" w:customStyle="1" w:styleId="27">
    <w:name w:val="Heading 7 Char"/>
    <w:basedOn w:val="18"/>
    <w:link w:val="8"/>
    <w:semiHidden/>
    <w:qFormat/>
    <w:locked/>
    <w:uiPriority w:val="99"/>
    <w:rPr>
      <w:sz w:val="24"/>
    </w:rPr>
  </w:style>
  <w:style w:type="character" w:customStyle="1" w:styleId="28">
    <w:name w:val="Heading 8 Char"/>
    <w:basedOn w:val="18"/>
    <w:link w:val="9"/>
    <w:semiHidden/>
    <w:qFormat/>
    <w:locked/>
    <w:uiPriority w:val="99"/>
    <w:rPr>
      <w:i/>
      <w:sz w:val="24"/>
    </w:rPr>
  </w:style>
  <w:style w:type="character" w:customStyle="1" w:styleId="29">
    <w:name w:val="Heading 9 Char"/>
    <w:basedOn w:val="18"/>
    <w:link w:val="10"/>
    <w:semiHidden/>
    <w:qFormat/>
    <w:locked/>
    <w:uiPriority w:val="99"/>
    <w:rPr>
      <w:rFonts w:ascii="Cambria" w:hAnsi="Cambria" w:eastAsia="宋体"/>
    </w:rPr>
  </w:style>
  <w:style w:type="character" w:customStyle="1" w:styleId="30">
    <w:name w:val="Balloon Text Char"/>
    <w:basedOn w:val="18"/>
    <w:link w:val="11"/>
    <w:semiHidden/>
    <w:qFormat/>
    <w:locked/>
    <w:uiPriority w:val="99"/>
    <w:rPr>
      <w:rFonts w:ascii="Times New Roman" w:hAnsi="Times New Roman" w:eastAsia="宋体"/>
      <w:kern w:val="2"/>
      <w:sz w:val="18"/>
    </w:rPr>
  </w:style>
  <w:style w:type="character" w:customStyle="1" w:styleId="31">
    <w:name w:val="Footer Char"/>
    <w:basedOn w:val="18"/>
    <w:link w:val="12"/>
    <w:qFormat/>
    <w:locked/>
    <w:uiPriority w:val="99"/>
    <w:rPr>
      <w:rFonts w:ascii="Calibri" w:hAnsi="Calibri" w:eastAsia="宋体"/>
      <w:kern w:val="2"/>
      <w:sz w:val="18"/>
    </w:rPr>
  </w:style>
  <w:style w:type="character" w:customStyle="1" w:styleId="32">
    <w:name w:val="Header Char"/>
    <w:basedOn w:val="18"/>
    <w:link w:val="13"/>
    <w:qFormat/>
    <w:locked/>
    <w:uiPriority w:val="99"/>
    <w:rPr>
      <w:rFonts w:ascii="Calibri" w:hAnsi="Calibri" w:eastAsia="宋体"/>
      <w:kern w:val="2"/>
      <w:sz w:val="18"/>
    </w:rPr>
  </w:style>
  <w:style w:type="character" w:customStyle="1" w:styleId="33">
    <w:name w:val="Subtitle Char"/>
    <w:basedOn w:val="18"/>
    <w:link w:val="14"/>
    <w:qFormat/>
    <w:locked/>
    <w:uiPriority w:val="99"/>
    <w:rPr>
      <w:rFonts w:ascii="Cambria" w:hAnsi="Cambria" w:eastAsia="宋体"/>
      <w:sz w:val="24"/>
    </w:rPr>
  </w:style>
  <w:style w:type="character" w:customStyle="1" w:styleId="34">
    <w:name w:val="Title Char"/>
    <w:basedOn w:val="18"/>
    <w:link w:val="16"/>
    <w:qFormat/>
    <w:locked/>
    <w:uiPriority w:val="99"/>
    <w:rPr>
      <w:rFonts w:ascii="Cambria" w:hAnsi="Cambria" w:eastAsia="宋体"/>
      <w:b/>
      <w:kern w:val="28"/>
      <w:sz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Quote Char"/>
    <w:basedOn w:val="18"/>
    <w:link w:val="37"/>
    <w:qFormat/>
    <w:locked/>
    <w:uiPriority w:val="99"/>
    <w:rPr>
      <w:i/>
      <w:sz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0"/>
    </w:rPr>
  </w:style>
  <w:style w:type="character" w:customStyle="1" w:styleId="40">
    <w:name w:val="Intense Quote Char"/>
    <w:basedOn w:val="18"/>
    <w:link w:val="39"/>
    <w:qFormat/>
    <w:locked/>
    <w:uiPriority w:val="99"/>
    <w:rPr>
      <w:b/>
      <w:i/>
      <w:sz w:val="24"/>
    </w:rPr>
  </w:style>
  <w:style w:type="character" w:customStyle="1" w:styleId="41">
    <w:name w:val="不明显强调1"/>
    <w:qFormat/>
    <w:uiPriority w:val="99"/>
    <w:rPr>
      <w:i/>
      <w:color w:val="595959"/>
    </w:rPr>
  </w:style>
  <w:style w:type="character" w:customStyle="1" w:styleId="42">
    <w:name w:val="明显强调1"/>
    <w:qFormat/>
    <w:uiPriority w:val="99"/>
    <w:rPr>
      <w:b/>
      <w:i/>
      <w:sz w:val="24"/>
      <w:u w:val="single"/>
    </w:rPr>
  </w:style>
  <w:style w:type="character" w:customStyle="1" w:styleId="43">
    <w:name w:val="不明显参考1"/>
    <w:qFormat/>
    <w:uiPriority w:val="99"/>
    <w:rPr>
      <w:sz w:val="24"/>
      <w:u w:val="single"/>
    </w:rPr>
  </w:style>
  <w:style w:type="character" w:customStyle="1" w:styleId="44">
    <w:name w:val="明显参考1"/>
    <w:qFormat/>
    <w:uiPriority w:val="99"/>
    <w:rPr>
      <w:b/>
      <w:sz w:val="24"/>
      <w:u w:val="single"/>
    </w:rPr>
  </w:style>
  <w:style w:type="character" w:customStyle="1" w:styleId="45">
    <w:name w:val="书籍标题1"/>
    <w:qFormat/>
    <w:uiPriority w:val="99"/>
    <w:rPr>
      <w:rFonts w:ascii="Cambria" w:hAnsi="Cambria" w:eastAsia="宋体"/>
      <w:b/>
      <w:i/>
      <w:sz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Pages>
  <Words>349</Words>
  <Characters>1993</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2019-10-25T12:56:51Z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