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项目名称：塔西河派出所工程项目</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实施单位（公章）：玛纳斯县公安局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9年1月15日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主要职能：（1）、保持严打高压，继续深化对敌斗争；（2）、坚持多措并举，强化社会治安防控；（3）、坚持综合施策，强化行政服务管理；（4）、深化四项建设，打牢公安基层基础</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机构情况：我单位机构数1个、共有职能部门30个。</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（二）项目预算绩效目标设定情况</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rPr>
        <w:t>预期目标及阶段性目标</w:t>
      </w:r>
      <w:r>
        <w:rPr>
          <w:rStyle w:val="19"/>
          <w:rFonts w:hint="eastAsia" w:ascii="仿宋" w:hAnsi="仿宋" w:eastAsia="仿宋"/>
          <w:b w:val="0"/>
          <w:spacing w:val="-4"/>
          <w:sz w:val="32"/>
          <w:szCs w:val="32"/>
          <w:lang w:eastAsia="zh-CN"/>
        </w:rPr>
        <w:t>：</w:t>
      </w:r>
      <w:r>
        <w:rPr>
          <w:rFonts w:hint="eastAsia" w:ascii="仿宋" w:hAnsi="仿宋" w:eastAsia="仿宋"/>
          <w:spacing w:val="-4"/>
          <w:sz w:val="32"/>
          <w:szCs w:val="32"/>
        </w:rPr>
        <w:t>改善办公环境，从而提高办公效率，提高接警处置效率，充分发挥公安职能，维护社会稳定。</w:t>
      </w:r>
    </w:p>
    <w:p>
      <w:pPr>
        <w:spacing w:line="540" w:lineRule="exact"/>
        <w:ind w:firstLine="564" w:firstLineChars="181"/>
        <w:rPr>
          <w:rFonts w:hint="eastAsia" w:ascii="仿宋" w:hAnsi="仿宋" w:eastAsia="仿宋"/>
          <w:spacing w:val="-4"/>
          <w:sz w:val="32"/>
          <w:szCs w:val="32"/>
          <w:lang w:eastAsia="zh-CN"/>
        </w:rPr>
      </w:pPr>
      <w:r>
        <w:rPr>
          <w:rStyle w:val="19"/>
          <w:rFonts w:hint="eastAsia" w:ascii="仿宋" w:hAnsi="仿宋" w:eastAsia="仿宋"/>
          <w:b w:val="0"/>
          <w:spacing w:val="-4"/>
          <w:sz w:val="32"/>
          <w:szCs w:val="32"/>
        </w:rPr>
        <w:t>项目基本性质、用途和主要内容、涉及范围</w:t>
      </w:r>
      <w:r>
        <w:rPr>
          <w:rStyle w:val="19"/>
          <w:rFonts w:hint="eastAsia" w:ascii="仿宋" w:hAnsi="仿宋" w:eastAsia="仿宋"/>
          <w:b w:val="0"/>
          <w:spacing w:val="-4"/>
          <w:sz w:val="32"/>
          <w:szCs w:val="32"/>
          <w:lang w:eastAsia="zh-CN"/>
        </w:rPr>
        <w:t>：</w:t>
      </w:r>
      <w:r>
        <w:rPr>
          <w:rFonts w:hint="eastAsia" w:ascii="仿宋" w:hAnsi="仿宋" w:eastAsia="仿宋"/>
          <w:spacing w:val="-4"/>
          <w:sz w:val="32"/>
          <w:szCs w:val="32"/>
        </w:rPr>
        <w:t>经费主要用于我局兰州湾派出所建设项目工程款及前期费用</w:t>
      </w:r>
      <w:r>
        <w:rPr>
          <w:rFonts w:hint="eastAsia" w:ascii="仿宋" w:hAnsi="仿宋" w:eastAsia="仿宋"/>
          <w:spacing w:val="-4"/>
          <w:sz w:val="32"/>
          <w:szCs w:val="32"/>
          <w:lang w:eastAsia="zh-CN"/>
        </w:rPr>
        <w:t>。</w:t>
      </w:r>
      <w:r>
        <w:rPr>
          <w:rStyle w:val="19"/>
          <w:rFonts w:hint="eastAsia" w:ascii="仿宋" w:hAnsi="仿宋" w:eastAsia="仿宋"/>
          <w:b w:val="0"/>
          <w:spacing w:val="-4"/>
          <w:sz w:val="32"/>
          <w:szCs w:val="32"/>
          <w:highlight w:val="none"/>
          <w:lang w:val="en-US" w:eastAsia="zh-CN"/>
        </w:rPr>
        <w:t>本项目共设置一级指标3个、二级指标9个、三级指标11个指标。</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lang w:eastAsia="zh-CN"/>
        </w:rPr>
        <w:t>玛纳斯县公安局塔西河派出所工程项目</w:t>
      </w:r>
      <w:r>
        <w:rPr>
          <w:rStyle w:val="19"/>
          <w:rFonts w:hint="eastAsia" w:ascii="仿宋" w:hAnsi="仿宋" w:eastAsia="仿宋"/>
          <w:b w:val="0"/>
          <w:spacing w:val="-4"/>
          <w:sz w:val="32"/>
          <w:szCs w:val="32"/>
          <w:lang w:val="en-US" w:eastAsia="zh-CN"/>
        </w:rPr>
        <w:t>2018年安排总金额25万元。项目资金为</w:t>
      </w:r>
      <w:r>
        <w:rPr>
          <w:rStyle w:val="19"/>
          <w:rFonts w:hint="eastAsia" w:ascii="仿宋" w:hAnsi="仿宋" w:eastAsia="仿宋"/>
          <w:b w:val="0"/>
          <w:bCs/>
          <w:spacing w:val="-4"/>
          <w:sz w:val="32"/>
          <w:szCs w:val="32"/>
          <w:lang w:val="en-US" w:eastAsia="zh-CN"/>
        </w:rPr>
        <w:t>上级部门</w:t>
      </w:r>
      <w:r>
        <w:rPr>
          <w:rStyle w:val="19"/>
          <w:rFonts w:hint="eastAsia" w:ascii="仿宋" w:hAnsi="仿宋" w:eastAsia="仿宋"/>
          <w:b w:val="0"/>
          <w:bCs/>
          <w:spacing w:val="-4"/>
          <w:sz w:val="32"/>
          <w:szCs w:val="32"/>
          <w:lang w:eastAsia="zh-CN"/>
        </w:rPr>
        <w:t>安排</w:t>
      </w:r>
      <w:r>
        <w:rPr>
          <w:rStyle w:val="19"/>
          <w:rFonts w:hint="eastAsia" w:ascii="仿宋" w:hAnsi="仿宋" w:eastAsia="仿宋"/>
          <w:b w:val="0"/>
          <w:bCs/>
          <w:spacing w:val="-4"/>
          <w:sz w:val="32"/>
          <w:szCs w:val="32"/>
          <w:lang w:val="en-US" w:eastAsia="zh-CN"/>
        </w:rPr>
        <w:t>25万元，</w:t>
      </w:r>
      <w:r>
        <w:rPr>
          <w:rStyle w:val="19"/>
          <w:rFonts w:hint="eastAsia" w:ascii="仿宋" w:hAnsi="仿宋" w:eastAsia="仿宋"/>
          <w:b w:val="0"/>
          <w:spacing w:val="-4"/>
          <w:sz w:val="32"/>
          <w:szCs w:val="32"/>
          <w:lang w:eastAsia="zh-CN"/>
        </w:rPr>
        <w:t>由我局统一向财政局申请</w:t>
      </w:r>
      <w:r>
        <w:rPr>
          <w:rFonts w:hint="eastAsia" w:ascii="仿宋" w:hAnsi="仿宋" w:eastAsia="仿宋"/>
          <w:spacing w:val="-4"/>
          <w:sz w:val="32"/>
          <w:szCs w:val="32"/>
        </w:rPr>
        <w:t>根据代建处监管的项目进展情况，向财政局申情资金，做直接支付支付给建筑单位。</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lang w:val="en-US" w:eastAsia="zh-CN"/>
        </w:rPr>
        <w:t>项目资金为</w:t>
      </w:r>
      <w:r>
        <w:rPr>
          <w:rStyle w:val="19"/>
          <w:rFonts w:hint="eastAsia" w:ascii="仿宋" w:hAnsi="仿宋" w:eastAsia="仿宋"/>
          <w:b w:val="0"/>
          <w:bCs/>
          <w:spacing w:val="-4"/>
          <w:sz w:val="32"/>
          <w:szCs w:val="32"/>
          <w:lang w:val="en-US" w:eastAsia="zh-CN"/>
        </w:rPr>
        <w:t>上级部门</w:t>
      </w:r>
      <w:r>
        <w:rPr>
          <w:rStyle w:val="19"/>
          <w:rFonts w:hint="eastAsia" w:ascii="仿宋" w:hAnsi="仿宋" w:eastAsia="仿宋"/>
          <w:b w:val="0"/>
          <w:bCs/>
          <w:spacing w:val="-4"/>
          <w:sz w:val="32"/>
          <w:szCs w:val="32"/>
          <w:lang w:eastAsia="zh-CN"/>
        </w:rPr>
        <w:t>安排</w:t>
      </w:r>
      <w:r>
        <w:rPr>
          <w:rStyle w:val="19"/>
          <w:rFonts w:hint="eastAsia" w:ascii="仿宋" w:hAnsi="仿宋" w:eastAsia="仿宋"/>
          <w:b w:val="0"/>
          <w:bCs/>
          <w:spacing w:val="-4"/>
          <w:sz w:val="32"/>
          <w:szCs w:val="32"/>
          <w:lang w:val="en-US" w:eastAsia="zh-CN"/>
        </w:rPr>
        <w:t>25万元，</w:t>
      </w:r>
      <w:r>
        <w:rPr>
          <w:rFonts w:hint="eastAsia" w:ascii="仿宋" w:hAnsi="仿宋" w:eastAsia="仿宋"/>
          <w:spacing w:val="-4"/>
          <w:sz w:val="32"/>
          <w:szCs w:val="32"/>
        </w:rPr>
        <w:t>塔西河派出所工程款支付25万元。</w:t>
      </w:r>
      <w:r>
        <w:rPr>
          <w:rStyle w:val="19"/>
          <w:rFonts w:hint="eastAsia" w:ascii="仿宋" w:hAnsi="仿宋" w:eastAsia="仿宋"/>
          <w:b w:val="0"/>
          <w:spacing w:val="-4"/>
          <w:sz w:val="32"/>
          <w:szCs w:val="32"/>
        </w:rPr>
        <w:t>资金全部到位，并且按照公安厅要求使用资金</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年末财政拨款无结余。</w:t>
      </w:r>
    </w:p>
    <w:p>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项目资金由县财政局统一管理，由代建处对项目进度及质量进行监管，支付时由代建处向财政局申请资金，建筑单位携监理、代建处签字的工程支付申请书及发票和相关中标合同手续在我局进行五级审批后，交由财政局支付。</w:t>
      </w:r>
      <w:r>
        <w:rPr>
          <w:rStyle w:val="19"/>
          <w:rFonts w:hint="eastAsia" w:ascii="仿宋" w:hAnsi="仿宋" w:eastAsia="仿宋"/>
          <w:b w:val="0"/>
          <w:spacing w:val="-4"/>
          <w:sz w:val="32"/>
          <w:szCs w:val="32"/>
        </w:rPr>
        <w:t>资金的拨付有完整的审批程序和手续，不存在截留、挤占、挪用等情况。</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项目投标情况：我局塔西河派出所项目已进行投标手续，并且中标手续已存档。我局资金使用严格执行我局各项规章制度，资金落实到位，不拖欠，不做项目外的其他支出。2018年项目资金无调整情况。</w:t>
      </w:r>
    </w:p>
    <w:p>
      <w:pPr>
        <w:spacing w:line="540" w:lineRule="exact"/>
        <w:ind w:firstLine="627" w:firstLineChars="200"/>
        <w:rPr>
          <w:rStyle w:val="19"/>
          <w:rFonts w:ascii="仿宋" w:hAnsi="仿宋" w:eastAsia="仿宋"/>
          <w:b w:val="0"/>
          <w:spacing w:val="-4"/>
          <w:sz w:val="32"/>
          <w:szCs w:val="32"/>
        </w:rPr>
      </w:pPr>
      <w:r>
        <w:rPr>
          <w:rStyle w:val="19"/>
          <w:rFonts w:hint="eastAsia" w:ascii="楷体" w:hAnsi="楷体" w:eastAsia="楷体"/>
          <w:spacing w:val="-4"/>
          <w:sz w:val="32"/>
          <w:szCs w:val="32"/>
        </w:rPr>
        <w:t>（二）项目管理情况分析</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1</w:t>
      </w:r>
      <w:r>
        <w:rPr>
          <w:rFonts w:hint="eastAsia" w:ascii="仿宋" w:hAnsi="仿宋" w:eastAsia="仿宋"/>
          <w:spacing w:val="-4"/>
          <w:sz w:val="32"/>
          <w:szCs w:val="32"/>
        </w:rPr>
        <w:t>、</w:t>
      </w:r>
      <w:r>
        <w:rPr>
          <w:rStyle w:val="19"/>
          <w:rFonts w:hint="eastAsia" w:ascii="仿宋" w:hAnsi="仿宋" w:eastAsia="仿宋"/>
          <w:b w:val="0"/>
          <w:spacing w:val="-4"/>
          <w:sz w:val="32"/>
          <w:szCs w:val="32"/>
        </w:rPr>
        <w:t>项目管理制度建设：</w:t>
      </w:r>
      <w:r>
        <w:rPr>
          <w:rFonts w:hint="eastAsia" w:ascii="仿宋" w:hAnsi="仿宋" w:eastAsia="仿宋"/>
          <w:spacing w:val="-4"/>
          <w:sz w:val="32"/>
          <w:szCs w:val="32"/>
        </w:rPr>
        <w:t>按照公安厅及上级部门制订的相关财务制度，我局也根据单位的实际情况制定了切实可行的《财务管理制度》、《财务岗位职责》</w:t>
      </w:r>
      <w:r>
        <w:rPr>
          <w:rFonts w:hint="eastAsia" w:ascii="仿宋" w:hAnsi="仿宋" w:eastAsia="仿宋"/>
          <w:spacing w:val="-4"/>
          <w:sz w:val="32"/>
          <w:szCs w:val="32"/>
          <w:lang w:eastAsia="zh-CN"/>
        </w:rPr>
        <w:t>、</w:t>
      </w:r>
      <w:r>
        <w:rPr>
          <w:rFonts w:hint="eastAsia" w:ascii="仿宋" w:hAnsi="仿宋" w:eastAsia="仿宋"/>
          <w:spacing w:val="-4"/>
          <w:sz w:val="32"/>
          <w:szCs w:val="32"/>
        </w:rPr>
        <w:t>《差旅费报销制度》等会计制度，及时学习更新相关规定，根据内部管理的需要，明确了工作岗位职责和权限。</w:t>
      </w:r>
      <w:bookmarkStart w:id="0" w:name="_GoBack"/>
      <w:bookmarkEnd w:id="0"/>
    </w:p>
    <w:p>
      <w:pPr>
        <w:spacing w:line="540" w:lineRule="exact"/>
        <w:ind w:firstLine="640"/>
        <w:rPr>
          <w:rFonts w:hint="eastAsia" w:ascii="仿宋" w:hAnsi="仿宋" w:eastAsia="仿宋"/>
          <w:spacing w:val="-4"/>
          <w:sz w:val="32"/>
          <w:szCs w:val="32"/>
        </w:rPr>
      </w:pPr>
      <w:r>
        <w:rPr>
          <w:rFonts w:hint="eastAsia" w:ascii="仿宋" w:hAnsi="仿宋" w:eastAsia="仿宋"/>
          <w:spacing w:val="-4"/>
          <w:sz w:val="32"/>
          <w:szCs w:val="32"/>
          <w:lang w:val="en-US" w:eastAsia="zh-CN"/>
        </w:rPr>
        <w:t>2</w:t>
      </w:r>
      <w:r>
        <w:rPr>
          <w:rFonts w:hint="eastAsia" w:ascii="仿宋" w:hAnsi="仿宋" w:eastAsia="仿宋"/>
          <w:spacing w:val="-4"/>
          <w:sz w:val="32"/>
          <w:szCs w:val="32"/>
        </w:rPr>
        <w:t>、</w:t>
      </w:r>
      <w:r>
        <w:rPr>
          <w:rStyle w:val="19"/>
          <w:rFonts w:hint="eastAsia" w:ascii="仿宋" w:hAnsi="仿宋" w:eastAsia="仿宋"/>
          <w:b w:val="0"/>
          <w:spacing w:val="-4"/>
          <w:sz w:val="32"/>
          <w:szCs w:val="32"/>
        </w:rPr>
        <w:t>日常检查监督管理</w:t>
      </w:r>
      <w:r>
        <w:rPr>
          <w:rStyle w:val="19"/>
          <w:rFonts w:hint="eastAsia" w:ascii="仿宋" w:hAnsi="仿宋" w:eastAsia="仿宋"/>
          <w:b w:val="0"/>
          <w:spacing w:val="-4"/>
          <w:sz w:val="32"/>
          <w:szCs w:val="32"/>
          <w:lang w:eastAsia="zh-CN"/>
        </w:rPr>
        <w:t>：</w:t>
      </w:r>
      <w:r>
        <w:rPr>
          <w:rFonts w:hint="eastAsia" w:ascii="仿宋" w:hAnsi="仿宋" w:eastAsia="仿宋"/>
          <w:spacing w:val="-4"/>
          <w:sz w:val="32"/>
          <w:szCs w:val="32"/>
        </w:rPr>
        <w:t>为进一步规范财政资金管理，强化单位责任意识，进一步完善专项资金管理，提高财政资金使用效益，我局先后制定了支出管理制度、专项资金管理制度以及稽核制度，单位项目资金使用严格执行“三重一大”管理制度，对单位重大支出上会讨论，经办人具体实施，主管领导监督，进行层层监督管理。把资金的使用落到实处。我局项目支出的管理贯穿项目的全过程，从项目的设计、施工、技术、相关设施的配套、专项资金的管理使用，到项目的竣工验收。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（一）项目绩效目标完成情况分析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本项目共设置一级指标3个、二级指标9个、三级指标11个指标。</w:t>
      </w:r>
      <w:r>
        <w:rPr>
          <w:rStyle w:val="19"/>
          <w:rFonts w:hint="eastAsia" w:ascii="仿宋" w:hAnsi="仿宋" w:eastAsia="仿宋"/>
          <w:b w:val="0"/>
          <w:spacing w:val="-4"/>
          <w:sz w:val="32"/>
          <w:szCs w:val="32"/>
          <w:lang w:eastAsia="zh-CN"/>
        </w:rPr>
        <w:t>其中已完成三级指标</w:t>
      </w:r>
      <w:r>
        <w:rPr>
          <w:rStyle w:val="19"/>
          <w:rFonts w:hint="eastAsia" w:ascii="仿宋" w:hAnsi="仿宋" w:eastAsia="仿宋"/>
          <w:b w:val="0"/>
          <w:spacing w:val="-4"/>
          <w:sz w:val="32"/>
          <w:szCs w:val="32"/>
          <w:lang w:val="en-US" w:eastAsia="zh-CN"/>
        </w:rPr>
        <w:t>11</w:t>
      </w:r>
      <w:r>
        <w:rPr>
          <w:rStyle w:val="19"/>
          <w:rFonts w:hint="eastAsia" w:ascii="仿宋" w:hAnsi="仿宋" w:eastAsia="仿宋"/>
          <w:b w:val="0"/>
          <w:spacing w:val="-4"/>
          <w:sz w:val="32"/>
          <w:szCs w:val="32"/>
          <w:lang w:eastAsia="zh-CN"/>
        </w:rPr>
        <w:t>个，指标完成率为</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1"/>
        </w:numPr>
        <w:kinsoku/>
        <w:wordWrap/>
        <w:overflowPunct/>
        <w:topLinePunct w:val="0"/>
        <w:autoSpaceDE/>
        <w:autoSpaceDN/>
        <w:bidi w:val="0"/>
        <w:spacing w:after="0" w:line="540" w:lineRule="exact"/>
        <w:ind w:firstLine="567" w:firstLineChars="181"/>
        <w:textAlignment w:val="auto"/>
        <w:outlineLvl w:val="9"/>
        <w:rPr>
          <w:rStyle w:val="19"/>
          <w:rFonts w:hint="eastAsia" w:ascii="仿宋" w:hAnsi="仿宋" w:eastAsia="仿宋"/>
          <w:b/>
          <w:bCs w:val="0"/>
          <w:spacing w:val="-4"/>
          <w:sz w:val="32"/>
          <w:szCs w:val="32"/>
          <w:highlight w:val="none"/>
        </w:rPr>
      </w:pPr>
      <w:r>
        <w:rPr>
          <w:rStyle w:val="19"/>
          <w:rFonts w:hint="eastAsia" w:ascii="仿宋" w:hAnsi="仿宋" w:eastAsia="仿宋"/>
          <w:b/>
          <w:bCs w:val="0"/>
          <w:spacing w:val="-4"/>
          <w:sz w:val="32"/>
          <w:szCs w:val="32"/>
          <w:highlight w:val="none"/>
        </w:rPr>
        <w:t>产出指标完成情况分析。</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（1）项目完成数量。项目投资金额</w:t>
      </w:r>
      <w:r>
        <w:rPr>
          <w:rStyle w:val="19"/>
          <w:rFonts w:hint="eastAsia" w:ascii="仿宋" w:hAnsi="仿宋" w:eastAsia="仿宋"/>
          <w:b w:val="0"/>
          <w:spacing w:val="-4"/>
          <w:sz w:val="32"/>
          <w:szCs w:val="32"/>
          <w:lang w:val="en-US" w:eastAsia="zh-CN"/>
        </w:rPr>
        <w:t>25万元，</w:t>
      </w:r>
      <w:r>
        <w:rPr>
          <w:rStyle w:val="19"/>
          <w:rFonts w:hint="eastAsia" w:ascii="仿宋" w:hAnsi="仿宋" w:eastAsia="仿宋"/>
          <w:b w:val="0"/>
          <w:spacing w:val="-4"/>
          <w:sz w:val="32"/>
          <w:szCs w:val="32"/>
          <w:lang w:eastAsia="zh-CN"/>
        </w:rPr>
        <w:t>建筑年限</w:t>
      </w:r>
      <w:r>
        <w:rPr>
          <w:rStyle w:val="19"/>
          <w:rFonts w:hint="eastAsia" w:ascii="仿宋" w:hAnsi="仿宋" w:eastAsia="仿宋"/>
          <w:b w:val="0"/>
          <w:spacing w:val="-4"/>
          <w:sz w:val="32"/>
          <w:szCs w:val="32"/>
          <w:lang w:val="en-US" w:eastAsia="zh-CN"/>
        </w:rPr>
        <w:t>1年</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（2）项目完成质量。提高办事效率和质量，方便群众办事，群众满意度明显提高，完成率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（3）项目时效。资金执行率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（4）项目成本。上级专项资金金额</w:t>
      </w:r>
      <w:r>
        <w:rPr>
          <w:rStyle w:val="19"/>
          <w:rFonts w:hint="eastAsia" w:ascii="仿宋" w:hAnsi="仿宋" w:eastAsia="仿宋"/>
          <w:b w:val="0"/>
          <w:spacing w:val="-4"/>
          <w:sz w:val="32"/>
          <w:szCs w:val="32"/>
          <w:lang w:val="en-US" w:eastAsia="zh-CN"/>
        </w:rPr>
        <w:t>25万元，</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0"/>
        </w:numPr>
        <w:kinsoku/>
        <w:wordWrap/>
        <w:overflowPunct/>
        <w:topLinePunct w:val="0"/>
        <w:autoSpaceDE/>
        <w:autoSpaceDN/>
        <w:bidi w:val="0"/>
        <w:spacing w:after="0" w:line="540" w:lineRule="exact"/>
        <w:ind w:firstLine="627" w:firstLineChars="200"/>
        <w:textAlignment w:val="auto"/>
        <w:outlineLvl w:val="9"/>
        <w:rPr>
          <w:rStyle w:val="19"/>
          <w:rFonts w:hint="eastAsia" w:ascii="仿宋" w:hAnsi="仿宋" w:eastAsia="仿宋"/>
          <w:b/>
          <w:bCs w:val="0"/>
          <w:spacing w:val="-4"/>
          <w:sz w:val="32"/>
          <w:szCs w:val="32"/>
          <w:highlight w:val="none"/>
          <w:lang w:eastAsia="zh-CN"/>
        </w:rPr>
      </w:pPr>
      <w:r>
        <w:rPr>
          <w:rStyle w:val="19"/>
          <w:rFonts w:hint="eastAsia" w:ascii="仿宋" w:hAnsi="仿宋" w:eastAsia="仿宋"/>
          <w:b/>
          <w:bCs w:val="0"/>
          <w:spacing w:val="-4"/>
          <w:sz w:val="32"/>
          <w:szCs w:val="32"/>
          <w:highlight w:val="none"/>
          <w:lang w:eastAsia="zh-CN"/>
        </w:rPr>
        <w:t>2、效益指标完成情况分析</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（1）</w:t>
      </w:r>
      <w:r>
        <w:rPr>
          <w:rFonts w:hint="eastAsia" w:ascii="仿宋" w:hAnsi="仿宋" w:eastAsia="仿宋" w:cs="仿宋"/>
          <w:b w:val="0"/>
          <w:bCs/>
          <w:color w:val="auto"/>
          <w:kern w:val="0"/>
          <w:sz w:val="32"/>
          <w:szCs w:val="32"/>
          <w:lang w:eastAsia="zh-CN"/>
        </w:rPr>
        <w:t>项目实施的社会效益指标。</w:t>
      </w:r>
      <w:r>
        <w:rPr>
          <w:rStyle w:val="19"/>
          <w:rFonts w:hint="eastAsia" w:ascii="仿宋" w:hAnsi="仿宋" w:eastAsia="仿宋"/>
          <w:b w:val="0"/>
          <w:spacing w:val="-4"/>
          <w:sz w:val="32"/>
          <w:szCs w:val="32"/>
          <w:lang w:eastAsia="zh-CN"/>
        </w:rPr>
        <w:t>提高接警处置效率，充分发挥公安职能，维护社会稳定，提升公安形象，改善办公环境，方便群众办事，群众满意度明显提高，完成率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spacing w:line="540" w:lineRule="exact"/>
        <w:ind w:firstLine="564" w:firstLineChars="181"/>
        <w:rPr>
          <w:rFonts w:hint="eastAsia" w:ascii="仿宋" w:hAnsi="仿宋" w:eastAsia="仿宋" w:cs="仿宋"/>
          <w:b w:val="0"/>
          <w:bCs/>
          <w:color w:val="auto"/>
          <w:kern w:val="0"/>
          <w:sz w:val="32"/>
          <w:szCs w:val="32"/>
          <w:lang w:eastAsia="zh-CN"/>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lang w:eastAsia="zh-CN"/>
        </w:rPr>
        <w:t>项目实施的可持续影响分析。预计该项目</w:t>
      </w:r>
      <w:r>
        <w:rPr>
          <w:rStyle w:val="19"/>
          <w:rFonts w:hint="eastAsia" w:ascii="仿宋" w:hAnsi="仿宋" w:eastAsia="仿宋"/>
          <w:b w:val="0"/>
          <w:spacing w:val="-4"/>
          <w:sz w:val="32"/>
          <w:szCs w:val="32"/>
          <w:lang w:val="en-US" w:eastAsia="zh-CN"/>
        </w:rPr>
        <w:t>长期维护社会面管控</w:t>
      </w:r>
      <w:r>
        <w:rPr>
          <w:rFonts w:hint="eastAsia" w:ascii="仿宋" w:hAnsi="仿宋" w:eastAsia="仿宋" w:cs="仿宋"/>
          <w:b w:val="0"/>
          <w:bCs/>
          <w:color w:val="auto"/>
          <w:kern w:val="0"/>
          <w:sz w:val="32"/>
          <w:szCs w:val="32"/>
          <w:lang w:eastAsia="zh-CN"/>
        </w:rPr>
        <w:t>，已完成该项目指标，完成率</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3</w:t>
      </w:r>
      <w:r>
        <w:rPr>
          <w:rStyle w:val="19"/>
          <w:rFonts w:hint="eastAsia" w:ascii="方正仿宋_GBK" w:hAnsi="方正仿宋_GBK" w:eastAsia="方正仿宋_GBK" w:cs="方正仿宋_GBK"/>
          <w:b/>
          <w:bCs/>
          <w:sz w:val="32"/>
          <w:szCs w:val="32"/>
          <w:lang w:eastAsia="zh-CN"/>
        </w:rPr>
        <w:t>、</w:t>
      </w:r>
      <w:r>
        <w:rPr>
          <w:rStyle w:val="19"/>
          <w:rFonts w:hint="eastAsia" w:ascii="方正仿宋_GBK" w:hAnsi="方正仿宋_GBK" w:eastAsia="方正仿宋_GBK" w:cs="方正仿宋_GBK"/>
          <w:b/>
          <w:bCs/>
          <w:sz w:val="32"/>
          <w:szCs w:val="32"/>
        </w:rPr>
        <w:t>满意度指标完成情况分析</w:t>
      </w:r>
    </w:p>
    <w:p>
      <w:pPr>
        <w:spacing w:line="600" w:lineRule="exact"/>
        <w:ind w:firstLine="627" w:firstLineChars="196"/>
        <w:jc w:val="left"/>
        <w:rPr>
          <w:rFonts w:hint="eastAsia" w:ascii="仿宋" w:hAnsi="仿宋" w:eastAsia="仿宋" w:cs="仿宋"/>
          <w:b w:val="0"/>
          <w:bCs/>
          <w:color w:val="auto"/>
          <w:kern w:val="0"/>
          <w:sz w:val="32"/>
          <w:szCs w:val="32"/>
          <w:lang w:val="en-US" w:eastAsia="zh-CN"/>
        </w:rPr>
      </w:pPr>
      <w:r>
        <w:rPr>
          <w:rFonts w:hint="eastAsia" w:ascii="仿宋" w:hAnsi="仿宋" w:eastAsia="仿宋" w:cs="仿宋"/>
          <w:b w:val="0"/>
          <w:bCs/>
          <w:color w:val="auto"/>
          <w:kern w:val="0"/>
          <w:sz w:val="32"/>
          <w:szCs w:val="32"/>
          <w:lang w:eastAsia="zh-CN"/>
        </w:rPr>
        <w:t>该项目指标全部完成，预计群众满意度＞95%，实际群众满意度</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eastAsia="zh-CN"/>
        </w:rPr>
      </w:pPr>
      <w:r>
        <w:rPr>
          <w:rFonts w:hint="eastAsia" w:ascii="方正仿宋_GBK" w:hAnsi="方正仿宋_GBK" w:eastAsia="方正仿宋_GBK" w:cs="方正仿宋_GBK"/>
          <w:b/>
          <w:bCs/>
          <w:sz w:val="32"/>
          <w:szCs w:val="32"/>
          <w:highlight w:val="none"/>
          <w:lang w:eastAsia="zh-CN"/>
        </w:rPr>
        <w:t>（二）项目绩效目标未完成原因分析。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该项目已完成所有设定的绩效目标任务，完成率</w:t>
      </w:r>
      <w:r>
        <w:rPr>
          <w:rFonts w:hint="eastAsia" w:ascii="仿宋" w:hAnsi="仿宋" w:eastAsia="仿宋" w:cs="仿宋"/>
          <w:sz w:val="32"/>
          <w:szCs w:val="32"/>
          <w:highlight w:val="none"/>
          <w:lang w:val="en-US" w:eastAsia="zh-CN"/>
        </w:rPr>
        <w:t>100%，不存在未完成目标值情况。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val="en-US" w:eastAsia="zh-CN"/>
        </w:rPr>
      </w:pPr>
      <w:r>
        <w:rPr>
          <w:rFonts w:hint="eastAsia" w:ascii="方正仿宋_GBK" w:hAnsi="方正仿宋_GBK" w:eastAsia="方正仿宋_GBK" w:cs="方正仿宋_GBK"/>
          <w:b/>
          <w:bCs/>
          <w:sz w:val="32"/>
          <w:szCs w:val="32"/>
          <w:highlight w:val="none"/>
          <w:lang w:val="en-US" w:eastAsia="zh-CN"/>
        </w:rPr>
        <w:t>（三）预算执行进度与绩效指标偏差分析。</w:t>
      </w:r>
    </w:p>
    <w:p>
      <w:pPr>
        <w:keepNext w:val="0"/>
        <w:keepLines w:val="0"/>
        <w:pageBreakBefore w:val="0"/>
        <w:widowControl w:val="0"/>
        <w:numPr>
          <w:ilvl w:val="0"/>
          <w:numId w:val="0"/>
        </w:numPr>
        <w:kinsoku/>
        <w:wordWrap/>
        <w:overflowPunct/>
        <w:topLinePunct w:val="0"/>
        <w:autoSpaceDE/>
        <w:autoSpaceDN/>
        <w:bidi w:val="0"/>
        <w:adjustRightInd w:val="0"/>
        <w:spacing w:line="600" w:lineRule="exact"/>
        <w:ind w:right="0" w:rightChars="0" w:firstLine="640" w:firstLineChars="200"/>
        <w:textAlignment w:val="auto"/>
        <w:rPr>
          <w:rFonts w:hint="eastAsia"/>
          <w:lang w:val="en-US" w:eastAsia="zh-CN"/>
        </w:rPr>
      </w:pPr>
      <w:r>
        <w:rPr>
          <w:rFonts w:hint="eastAsia" w:ascii="仿宋" w:hAnsi="仿宋" w:eastAsia="仿宋" w:cs="仿宋"/>
          <w:b w:val="0"/>
          <w:bCs w:val="0"/>
          <w:kern w:val="2"/>
          <w:sz w:val="32"/>
          <w:szCs w:val="32"/>
          <w:highlight w:val="none"/>
          <w:lang w:val="en-US" w:eastAsia="zh-CN" w:bidi="ar-SA"/>
        </w:rPr>
        <w:t>该项目预算执行进度与绩效指标总体完成率无偏差。</w:t>
      </w:r>
    </w:p>
    <w:p>
      <w:pPr>
        <w:spacing w:line="540" w:lineRule="exact"/>
        <w:ind w:firstLine="564" w:firstLineChars="181"/>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学习更新相关规定，根据内部管理的需要，明确工作岗位职责和权限</w:t>
      </w:r>
      <w:r>
        <w:rPr>
          <w:rFonts w:hint="eastAsia" w:ascii="仿宋" w:hAnsi="仿宋" w:eastAsia="仿宋"/>
          <w:spacing w:val="-4"/>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lang w:val="en-US" w:eastAsia="zh-CN"/>
        </w:rPr>
        <w:t>1、</w:t>
      </w:r>
      <w:r>
        <w:rPr>
          <w:rFonts w:hint="eastAsia" w:ascii="仿宋" w:hAnsi="仿宋" w:eastAsia="仿宋"/>
          <w:spacing w:val="-4"/>
          <w:sz w:val="32"/>
          <w:szCs w:val="32"/>
        </w:rPr>
        <w:t>经验及做法：对专项资金，我局严格按照财务管理制度、专项资金管理办法以及本部门厉行节约制度执行，各项专项资金，做到了财政、上级、本部门的三方共同管理、监督，专款专用极大有效的预防和惩治毒品违法犯罪行为，保护了公民身心健康，抑制了犯罪数，维护社会稳定和经济发展。</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存在的问题</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项目工作实施后，</w:t>
      </w:r>
      <w:r>
        <w:rPr>
          <w:rStyle w:val="19"/>
          <w:rFonts w:hint="eastAsia" w:ascii="仿宋" w:hAnsi="仿宋" w:eastAsia="仿宋"/>
          <w:b w:val="0"/>
          <w:spacing w:val="-4"/>
          <w:sz w:val="32"/>
          <w:szCs w:val="32"/>
          <w:lang w:eastAsia="zh-CN"/>
        </w:rPr>
        <w:t>兰州湾派出所项目存在管理制度不健全，建设管理不够严格，影响</w:t>
      </w:r>
      <w:r>
        <w:rPr>
          <w:rStyle w:val="19"/>
          <w:rFonts w:hint="eastAsia" w:ascii="仿宋" w:hAnsi="仿宋" w:eastAsia="仿宋"/>
          <w:b w:val="0"/>
          <w:spacing w:val="-4"/>
          <w:sz w:val="32"/>
          <w:szCs w:val="32"/>
        </w:rPr>
        <w:t>预定的绩效目标。</w:t>
      </w:r>
    </w:p>
    <w:p>
      <w:pPr>
        <w:numPr>
          <w:ilvl w:val="0"/>
          <w:numId w:val="2"/>
        </w:numPr>
        <w:spacing w:line="540" w:lineRule="exact"/>
        <w:ind w:left="0" w:leftChars="0"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建议</w:t>
      </w:r>
    </w:p>
    <w:p>
      <w:pPr>
        <w:numPr>
          <w:ilvl w:val="0"/>
          <w:numId w:val="0"/>
        </w:numPr>
        <w:spacing w:line="540" w:lineRule="exact"/>
        <w:ind w:leftChars="181"/>
        <w:rPr>
          <w:rStyle w:val="19"/>
          <w:rFonts w:hint="default"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 xml:space="preserve">  建立健全管理制度，加强项目建设管理，确保资金合理高效使用。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无其他说明内容</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40" w:lineRule="exact"/>
        <w:ind w:firstLine="564" w:firstLineChars="181"/>
        <w:rPr>
          <w:rFonts w:hint="eastAsia" w:ascii="仿宋" w:hAnsi="仿宋" w:eastAsia="仿宋"/>
          <w:spacing w:val="-4"/>
          <w:sz w:val="32"/>
          <w:szCs w:val="32"/>
        </w:rPr>
      </w:pPr>
      <w:r>
        <w:rPr>
          <w:rFonts w:hint="eastAsia" w:ascii="仿宋" w:hAnsi="仿宋" w:eastAsia="仿宋"/>
          <w:spacing w:val="-4"/>
          <w:sz w:val="32"/>
          <w:szCs w:val="32"/>
        </w:rPr>
        <w:t>我局严格按照上级部门下达的资金使用方式使用资金，切实做到每笔资金都由我局领导逐级审批，合理规范资金使用情况，确保资金落到实处，使资金使用效益达到最大化，切实保障办案部门正常运转。</w:t>
      </w:r>
    </w:p>
    <w:p>
      <w:pPr>
        <w:spacing w:line="540" w:lineRule="exact"/>
        <w:ind w:firstLine="564" w:firstLineChars="181"/>
        <w:rPr>
          <w:rFonts w:hint="eastAsia" w:ascii="仿宋" w:hAnsi="仿宋" w:eastAsia="仿宋"/>
          <w:spacing w:val="-4"/>
          <w:sz w:val="32"/>
          <w:szCs w:val="32"/>
        </w:rPr>
      </w:pPr>
      <w:r>
        <w:rPr>
          <w:rStyle w:val="19"/>
          <w:rFonts w:hint="eastAsia" w:ascii="仿宋" w:hAnsi="仿宋" w:eastAsia="仿宋"/>
          <w:b w:val="0"/>
          <w:spacing w:val="-4"/>
          <w:sz w:val="32"/>
          <w:szCs w:val="32"/>
        </w:rPr>
        <w:t>项目资金管理过程规范，程序到位，完成了预期绩效目标，群众满意，社会反响好。取得了巨大的社会效益</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《玛纳斯县财政项目支出绩效自评表》</w:t>
      </w: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tbl>
      <w:tblPr>
        <w:tblStyle w:val="17"/>
        <w:tblW w:w="9360" w:type="dxa"/>
        <w:tblInd w:w="93" w:type="dxa"/>
        <w:tblLayout w:type="fixed"/>
        <w:tblCellMar>
          <w:top w:w="0" w:type="dxa"/>
          <w:left w:w="108" w:type="dxa"/>
          <w:bottom w:w="0" w:type="dxa"/>
          <w:right w:w="108" w:type="dxa"/>
        </w:tblCellMar>
      </w:tblPr>
      <w:tblGrid>
        <w:gridCol w:w="720"/>
        <w:gridCol w:w="1300"/>
        <w:gridCol w:w="1400"/>
        <w:gridCol w:w="620"/>
        <w:gridCol w:w="1616"/>
        <w:gridCol w:w="1444"/>
        <w:gridCol w:w="2260"/>
      </w:tblGrid>
      <w:tr>
        <w:tblPrEx>
          <w:tblLayout w:type="fixed"/>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4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6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616"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444"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2260" w:type="dxa"/>
            <w:tcBorders>
              <w:top w:val="nil"/>
              <w:left w:val="nil"/>
              <w:bottom w:val="nil"/>
              <w:right w:val="nil"/>
            </w:tcBorders>
            <w:shd w:val="clear" w:color="auto" w:fill="auto"/>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项目名称</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塔西河派出所工程项目建设</w:t>
            </w:r>
          </w:p>
        </w:tc>
      </w:tr>
      <w:tr>
        <w:tblPrEx>
          <w:tblLayout w:type="fixed"/>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预算单位</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玛纳斯县公安局</w:t>
            </w:r>
          </w:p>
        </w:tc>
      </w:tr>
      <w:tr>
        <w:tblPrEx>
          <w:tblLayout w:type="fixed"/>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预算执行情况（万元）</w:t>
            </w: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预算数：</w:t>
            </w:r>
          </w:p>
        </w:tc>
        <w:tc>
          <w:tcPr>
            <w:tcW w:w="223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44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执行数：</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25</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23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44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25</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23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44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年度目标完成情况</w:t>
            </w:r>
          </w:p>
        </w:tc>
        <w:tc>
          <w:tcPr>
            <w:tcW w:w="493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预期目标</w:t>
            </w:r>
          </w:p>
        </w:tc>
        <w:tc>
          <w:tcPr>
            <w:tcW w:w="370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实际完成目标</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936" w:type="dxa"/>
            <w:gridSpan w:val="4"/>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改善办公环境，从而提高办公效率，提高接警处置效率，充分发挥公安职能，维护社会稳定。</w:t>
            </w:r>
          </w:p>
        </w:tc>
        <w:tc>
          <w:tcPr>
            <w:tcW w:w="3704"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改善办公环境，从而提高办公效率，提高接警处置效率，充分发挥公安职能，维护社会稳定。</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936"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704"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312"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936"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704"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87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年度绩效指标完成情况</w:t>
            </w:r>
          </w:p>
        </w:tc>
        <w:tc>
          <w:tcPr>
            <w:tcW w:w="1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一级指标</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二级指标</w:t>
            </w:r>
          </w:p>
        </w:tc>
        <w:tc>
          <w:tcPr>
            <w:tcW w:w="223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三级指标</w:t>
            </w:r>
          </w:p>
        </w:tc>
        <w:tc>
          <w:tcPr>
            <w:tcW w:w="144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预期指标值（包含数字及文字描述）</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实际完成指标值（包含数字及文字描述）</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项目完成指标</w:t>
            </w:r>
          </w:p>
        </w:tc>
        <w:tc>
          <w:tcPr>
            <w:tcW w:w="14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223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项目投资金额</w:t>
            </w:r>
          </w:p>
        </w:tc>
        <w:tc>
          <w:tcPr>
            <w:tcW w:w="1444"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25</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themeColor="text1"/>
                <w:kern w:val="0"/>
                <w:sz w:val="24"/>
                <w:lang w:val="en-US" w:eastAsia="zh-CN"/>
              </w:rPr>
            </w:pPr>
            <w:r>
              <w:rPr>
                <w:rFonts w:hint="eastAsia" w:ascii="宋体" w:hAnsi="宋体" w:cs="宋体"/>
                <w:color w:val="000000" w:themeColor="text1"/>
                <w:kern w:val="0"/>
                <w:sz w:val="24"/>
              </w:rPr>
              <w:t xml:space="preserve"> </w:t>
            </w:r>
            <w:r>
              <w:rPr>
                <w:rFonts w:hint="eastAsia" w:ascii="宋体" w:hAnsi="宋体" w:cs="宋体"/>
                <w:color w:val="000000" w:themeColor="text1"/>
                <w:kern w:val="0"/>
                <w:sz w:val="24"/>
                <w:lang w:val="en-US" w:eastAsia="zh-CN"/>
              </w:rPr>
              <w:t>25</w:t>
            </w:r>
          </w:p>
        </w:tc>
      </w:tr>
      <w:tr>
        <w:tblPrEx>
          <w:tblLayout w:type="fixed"/>
          <w:tblCellMar>
            <w:top w:w="0" w:type="dxa"/>
            <w:left w:w="108" w:type="dxa"/>
            <w:bottom w:w="0" w:type="dxa"/>
            <w:right w:w="108" w:type="dxa"/>
          </w:tblCellMar>
        </w:tblPrEx>
        <w:trPr>
          <w:trHeight w:val="112"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23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建筑年限</w:t>
            </w:r>
          </w:p>
        </w:tc>
        <w:tc>
          <w:tcPr>
            <w:tcW w:w="1444"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val="en-US" w:eastAsia="zh-CN"/>
              </w:rPr>
              <w:t>1年</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rPr>
            </w:pPr>
            <w:r>
              <w:rPr>
                <w:rFonts w:hint="eastAsia" w:ascii="宋体" w:hAnsi="宋体" w:cs="宋体"/>
                <w:color w:val="000000" w:themeColor="text1"/>
                <w:kern w:val="0"/>
                <w:sz w:val="24"/>
              </w:rPr>
              <w:t xml:space="preserve"> </w:t>
            </w:r>
            <w:r>
              <w:rPr>
                <w:rFonts w:hint="eastAsia" w:ascii="宋体" w:hAnsi="宋体" w:cs="宋体"/>
                <w:color w:val="000000" w:themeColor="text1"/>
                <w:kern w:val="0"/>
                <w:sz w:val="24"/>
                <w:lang w:val="en-US" w:eastAsia="zh-CN"/>
              </w:rPr>
              <w:t>1年</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223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提高办事效率和质量，方便群众办事</w:t>
            </w:r>
          </w:p>
        </w:tc>
        <w:tc>
          <w:tcPr>
            <w:tcW w:w="144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群众满意度明显提高</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群众满意度明显提高</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时效指标</w:t>
            </w:r>
          </w:p>
        </w:tc>
        <w:tc>
          <w:tcPr>
            <w:tcW w:w="223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资金执行率</w:t>
            </w:r>
          </w:p>
        </w:tc>
        <w:tc>
          <w:tcPr>
            <w:tcW w:w="1444"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FF0000"/>
                <w:kern w:val="0"/>
                <w:sz w:val="24"/>
              </w:rPr>
            </w:pPr>
            <w:r>
              <w:rPr>
                <w:rFonts w:hint="eastAsia" w:ascii="宋体" w:hAnsi="宋体" w:cs="宋体"/>
                <w:kern w:val="0"/>
                <w:sz w:val="24"/>
                <w:lang w:val="en-US" w:eastAsia="zh-CN"/>
              </w:rPr>
              <w:t>100%</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223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上级专项资金金额</w:t>
            </w:r>
          </w:p>
        </w:tc>
        <w:tc>
          <w:tcPr>
            <w:tcW w:w="1444"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25</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25</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项目效果指标</w:t>
            </w: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经济效益指标</w:t>
            </w:r>
          </w:p>
        </w:tc>
        <w:tc>
          <w:tcPr>
            <w:tcW w:w="223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p>
        </w:tc>
        <w:tc>
          <w:tcPr>
            <w:tcW w:w="144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社会效益指标</w:t>
            </w:r>
          </w:p>
        </w:tc>
        <w:tc>
          <w:tcPr>
            <w:tcW w:w="223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提高接警处置效率，充分发挥公安职能，维护社会稳定</w:t>
            </w:r>
          </w:p>
        </w:tc>
        <w:tc>
          <w:tcPr>
            <w:tcW w:w="144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提升公安形象</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提升公安形象</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223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改善办公环境，方便群众办事，</w:t>
            </w:r>
          </w:p>
        </w:tc>
        <w:tc>
          <w:tcPr>
            <w:tcW w:w="144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群众满意度明显提高</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群众满意度明显提高</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生态效益指标</w:t>
            </w:r>
          </w:p>
        </w:tc>
        <w:tc>
          <w:tcPr>
            <w:tcW w:w="223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指标1：</w:t>
            </w:r>
          </w:p>
        </w:tc>
        <w:tc>
          <w:tcPr>
            <w:tcW w:w="144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可持续影响指标</w:t>
            </w:r>
          </w:p>
        </w:tc>
        <w:tc>
          <w:tcPr>
            <w:tcW w:w="223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val="en-US" w:eastAsia="zh-CN"/>
              </w:rPr>
              <w:t xml:space="preserve"> 社会面管控</w:t>
            </w:r>
          </w:p>
        </w:tc>
        <w:tc>
          <w:tcPr>
            <w:tcW w:w="1444"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val="en-US" w:eastAsia="zh-CN"/>
              </w:rPr>
              <w:t>长期</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val="en-US" w:eastAsia="zh-CN"/>
              </w:rPr>
              <w:t>长期</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223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rPr>
              <w:t>加强法律</w:t>
            </w:r>
            <w:r>
              <w:rPr>
                <w:rFonts w:hint="eastAsia" w:ascii="宋体" w:hAnsi="宋体" w:cs="宋体"/>
                <w:kern w:val="0"/>
                <w:sz w:val="24"/>
                <w:lang w:eastAsia="zh-CN"/>
              </w:rPr>
              <w:t>打击力度</w:t>
            </w:r>
            <w:r>
              <w:rPr>
                <w:rFonts w:hint="eastAsia" w:ascii="宋体" w:hAnsi="宋体" w:cs="宋体"/>
                <w:kern w:val="0"/>
                <w:sz w:val="24"/>
              </w:rPr>
              <w:t>，维护</w:t>
            </w:r>
            <w:r>
              <w:rPr>
                <w:rFonts w:hint="eastAsia" w:ascii="宋体" w:hAnsi="宋体" w:cs="宋体"/>
                <w:kern w:val="0"/>
                <w:sz w:val="24"/>
                <w:lang w:eastAsia="zh-CN"/>
              </w:rPr>
              <w:t>社会稳定</w:t>
            </w:r>
            <w:r>
              <w:rPr>
                <w:rFonts w:hint="eastAsia" w:ascii="宋体" w:hAnsi="宋体" w:cs="宋体"/>
                <w:kern w:val="0"/>
                <w:sz w:val="24"/>
              </w:rPr>
              <w:t>满意度</w:t>
            </w:r>
          </w:p>
        </w:tc>
        <w:tc>
          <w:tcPr>
            <w:tcW w:w="144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r>
    </w:tbl>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64BC2B3-3620-45E1-A01B-B401CB02539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5E39BD4A-D8E0-43FE-99DB-4D080E863777}"/>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D1AA6B6A-9F35-4A88-BF71-81DA6208AABE}"/>
  </w:font>
  <w:font w:name="华文中宋">
    <w:altName w:val="微软雅黑"/>
    <w:panose1 w:val="02010600040101010101"/>
    <w:charset w:val="86"/>
    <w:family w:val="auto"/>
    <w:pitch w:val="default"/>
    <w:sig w:usb0="00000000" w:usb1="00000000" w:usb2="00000010" w:usb3="00000000" w:csb0="0004009F" w:csb1="00000000"/>
    <w:embedRegular r:id="rId4" w:fontKey="{B9574A29-1A8B-45CA-BBDE-246616A0BC62}"/>
  </w:font>
  <w:font w:name="方正小标宋_GBK">
    <w:panose1 w:val="02000000000000000000"/>
    <w:charset w:val="86"/>
    <w:family w:val="script"/>
    <w:pitch w:val="default"/>
    <w:sig w:usb0="00000000" w:usb1="00000000" w:usb2="00000000" w:usb3="00000000" w:csb0="00000000" w:csb1="00000000"/>
    <w:embedRegular r:id="rId5" w:fontKey="{EEEAAC39-CEAE-4E62-B2CF-46B5E4C60C1A}"/>
  </w:font>
  <w:font w:name="仿宋_GB2312">
    <w:altName w:val="仿宋"/>
    <w:panose1 w:val="00000000000000000000"/>
    <w:charset w:val="86"/>
    <w:family w:val="modern"/>
    <w:pitch w:val="default"/>
    <w:sig w:usb0="00000000" w:usb1="00000000" w:usb2="00000010" w:usb3="00000000" w:csb0="00040000" w:csb1="00000000"/>
    <w:embedRegular r:id="rId6" w:fontKey="{789DACF0-93F0-418A-AA02-9A26DE4CB49F}"/>
  </w:font>
  <w:font w:name="楷体">
    <w:panose1 w:val="02010609060101010101"/>
    <w:charset w:val="86"/>
    <w:family w:val="modern"/>
    <w:pitch w:val="default"/>
    <w:sig w:usb0="800002BF" w:usb1="38CF7CFA" w:usb2="00000016" w:usb3="00000000" w:csb0="00040001" w:csb1="00000000"/>
    <w:embedRegular r:id="rId7" w:fontKey="{D2A10F75-5282-4637-9EBE-6B10DF078584}"/>
  </w:font>
  <w:font w:name="方正仿宋_GBK">
    <w:altName w:val="宋体"/>
    <w:panose1 w:val="03000509000000000000"/>
    <w:charset w:val="86"/>
    <w:family w:val="script"/>
    <w:pitch w:val="default"/>
    <w:sig w:usb0="00000000" w:usb1="00000000" w:usb2="00000000" w:usb3="00000000" w:csb0="00040000" w:csb1="00000000"/>
    <w:embedRegular r:id="rId8" w:fontKey="{19A8C6E2-5CEC-4B28-8093-16334C53C379}"/>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3</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CB0802"/>
    <w:multiLevelType w:val="singleLevel"/>
    <w:tmpl w:val="87CB0802"/>
    <w:lvl w:ilvl="0" w:tentative="0">
      <w:start w:val="2"/>
      <w:numFmt w:val="decimal"/>
      <w:suff w:val="nothing"/>
      <w:lvlText w:val="%1、"/>
      <w:lvlJc w:val="left"/>
    </w:lvl>
  </w:abstractNum>
  <w:abstractNum w:abstractNumId="1">
    <w:nsid w:val="5D0FB1CA"/>
    <w:multiLevelType w:val="singleLevel"/>
    <w:tmpl w:val="5D0FB1C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TrueTypeFonts/>
  <w:saveSubset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4816"/>
    <w:rsid w:val="00051D6B"/>
    <w:rsid w:val="00056465"/>
    <w:rsid w:val="000E7402"/>
    <w:rsid w:val="00121AE4"/>
    <w:rsid w:val="00146AAD"/>
    <w:rsid w:val="001B3A40"/>
    <w:rsid w:val="002977E8"/>
    <w:rsid w:val="003337E0"/>
    <w:rsid w:val="003623E6"/>
    <w:rsid w:val="003C18BC"/>
    <w:rsid w:val="004366A8"/>
    <w:rsid w:val="00464900"/>
    <w:rsid w:val="00502BA7"/>
    <w:rsid w:val="005162F1"/>
    <w:rsid w:val="00535153"/>
    <w:rsid w:val="00542434"/>
    <w:rsid w:val="00554F82"/>
    <w:rsid w:val="0056390D"/>
    <w:rsid w:val="005719B0"/>
    <w:rsid w:val="005C50AE"/>
    <w:rsid w:val="005D10D6"/>
    <w:rsid w:val="005D2F61"/>
    <w:rsid w:val="006B73F5"/>
    <w:rsid w:val="006C42DA"/>
    <w:rsid w:val="006F709F"/>
    <w:rsid w:val="007806A5"/>
    <w:rsid w:val="007A7588"/>
    <w:rsid w:val="007C5E51"/>
    <w:rsid w:val="007D1D4C"/>
    <w:rsid w:val="00855E3A"/>
    <w:rsid w:val="008858F2"/>
    <w:rsid w:val="008D24C5"/>
    <w:rsid w:val="008F7A1D"/>
    <w:rsid w:val="009074B1"/>
    <w:rsid w:val="00922CB9"/>
    <w:rsid w:val="009C4E03"/>
    <w:rsid w:val="009E5CD9"/>
    <w:rsid w:val="009F4AB5"/>
    <w:rsid w:val="00A26421"/>
    <w:rsid w:val="00A337BA"/>
    <w:rsid w:val="00A4293B"/>
    <w:rsid w:val="00A67D50"/>
    <w:rsid w:val="00A8691A"/>
    <w:rsid w:val="00AA2202"/>
    <w:rsid w:val="00AC1946"/>
    <w:rsid w:val="00AF2231"/>
    <w:rsid w:val="00B35140"/>
    <w:rsid w:val="00B40063"/>
    <w:rsid w:val="00B41F61"/>
    <w:rsid w:val="00BA46E6"/>
    <w:rsid w:val="00C042BC"/>
    <w:rsid w:val="00C56C72"/>
    <w:rsid w:val="00CA6457"/>
    <w:rsid w:val="00CC4FD7"/>
    <w:rsid w:val="00D17F2E"/>
    <w:rsid w:val="00D209D1"/>
    <w:rsid w:val="00D2223F"/>
    <w:rsid w:val="00D30354"/>
    <w:rsid w:val="00D511A5"/>
    <w:rsid w:val="00D82C00"/>
    <w:rsid w:val="00DF42A0"/>
    <w:rsid w:val="00E01899"/>
    <w:rsid w:val="00E0665E"/>
    <w:rsid w:val="00E46C51"/>
    <w:rsid w:val="00E5589D"/>
    <w:rsid w:val="00E769FE"/>
    <w:rsid w:val="00EA2CBE"/>
    <w:rsid w:val="00EE7710"/>
    <w:rsid w:val="00EF2659"/>
    <w:rsid w:val="00F2607F"/>
    <w:rsid w:val="00F32FEE"/>
    <w:rsid w:val="00FB10BB"/>
    <w:rsid w:val="00FD0AD7"/>
    <w:rsid w:val="00FF581E"/>
    <w:rsid w:val="09605B30"/>
    <w:rsid w:val="0FC50EB6"/>
    <w:rsid w:val="21C07994"/>
    <w:rsid w:val="2A3D16D5"/>
    <w:rsid w:val="2EFA0759"/>
    <w:rsid w:val="373418FE"/>
    <w:rsid w:val="47FE22A9"/>
    <w:rsid w:val="4A992DB0"/>
    <w:rsid w:val="553C40C4"/>
    <w:rsid w:val="57440731"/>
    <w:rsid w:val="5A0D4C58"/>
    <w:rsid w:val="5C895F21"/>
    <w:rsid w:val="63C42FF6"/>
    <w:rsid w:val="74EF2FE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qFormat/>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qFormat/>
    <w:uiPriority w:val="99"/>
    <w:rPr>
      <w:rFonts w:ascii="Calibri" w:hAnsi="Calibri" w:cs="Times New Roman"/>
      <w:b/>
      <w:i/>
      <w:iCs/>
    </w:rPr>
  </w:style>
  <w:style w:type="character" w:customStyle="1" w:styleId="21">
    <w:name w:val="标题 1 Char"/>
    <w:link w:val="2"/>
    <w:qFormat/>
    <w:locked/>
    <w:uiPriority w:val="99"/>
    <w:rPr>
      <w:rFonts w:ascii="Cambria" w:hAnsi="Cambria" w:eastAsia="宋体" w:cs="Times New Roman"/>
      <w:b/>
      <w:bCs/>
      <w:kern w:val="32"/>
      <w:sz w:val="32"/>
      <w:szCs w:val="32"/>
    </w:rPr>
  </w:style>
  <w:style w:type="character" w:customStyle="1" w:styleId="22">
    <w:name w:val="标题 2 Char"/>
    <w:link w:val="3"/>
    <w:semiHidden/>
    <w:qFormat/>
    <w:locked/>
    <w:uiPriority w:val="99"/>
    <w:rPr>
      <w:rFonts w:ascii="Cambria" w:hAnsi="Cambria" w:eastAsia="宋体" w:cs="Times New Roman"/>
      <w:b/>
      <w:bCs/>
      <w:i/>
      <w:iCs/>
      <w:sz w:val="28"/>
      <w:szCs w:val="28"/>
    </w:rPr>
  </w:style>
  <w:style w:type="character" w:customStyle="1" w:styleId="23">
    <w:name w:val="标题 3 Char"/>
    <w:link w:val="4"/>
    <w:semiHidden/>
    <w:qFormat/>
    <w:locked/>
    <w:uiPriority w:val="99"/>
    <w:rPr>
      <w:rFonts w:ascii="Cambria" w:hAnsi="Cambria" w:eastAsia="宋体" w:cs="Times New Roman"/>
      <w:b/>
      <w:bCs/>
      <w:sz w:val="26"/>
      <w:szCs w:val="26"/>
    </w:rPr>
  </w:style>
  <w:style w:type="character" w:customStyle="1" w:styleId="24">
    <w:name w:val="标题 4 Char"/>
    <w:link w:val="5"/>
    <w:semiHidden/>
    <w:qFormat/>
    <w:locked/>
    <w:uiPriority w:val="99"/>
    <w:rPr>
      <w:rFonts w:cs="Times New Roman"/>
      <w:b/>
      <w:bCs/>
      <w:sz w:val="28"/>
      <w:szCs w:val="28"/>
    </w:rPr>
  </w:style>
  <w:style w:type="character" w:customStyle="1" w:styleId="25">
    <w:name w:val="标题 5 Char"/>
    <w:link w:val="6"/>
    <w:semiHidden/>
    <w:qFormat/>
    <w:locked/>
    <w:uiPriority w:val="99"/>
    <w:rPr>
      <w:rFonts w:cs="Times New Roman"/>
      <w:b/>
      <w:bCs/>
      <w:i/>
      <w:iCs/>
      <w:sz w:val="26"/>
      <w:szCs w:val="26"/>
    </w:rPr>
  </w:style>
  <w:style w:type="character" w:customStyle="1" w:styleId="26">
    <w:name w:val="标题 6 Char"/>
    <w:link w:val="7"/>
    <w:semiHidden/>
    <w:qFormat/>
    <w:locked/>
    <w:uiPriority w:val="99"/>
    <w:rPr>
      <w:rFonts w:cs="Times New Roman"/>
      <w:b/>
      <w:bCs/>
    </w:rPr>
  </w:style>
  <w:style w:type="character" w:customStyle="1" w:styleId="27">
    <w:name w:val="标题 7 Char"/>
    <w:link w:val="8"/>
    <w:semiHidden/>
    <w:qFormat/>
    <w:locked/>
    <w:uiPriority w:val="99"/>
    <w:rPr>
      <w:rFonts w:cs="Times New Roman"/>
      <w:sz w:val="24"/>
      <w:szCs w:val="24"/>
    </w:rPr>
  </w:style>
  <w:style w:type="character" w:customStyle="1" w:styleId="28">
    <w:name w:val="标题 8 Char"/>
    <w:link w:val="9"/>
    <w:semiHidden/>
    <w:qFormat/>
    <w:locked/>
    <w:uiPriority w:val="99"/>
    <w:rPr>
      <w:rFonts w:cs="Times New Roman"/>
      <w:i/>
      <w:iCs/>
      <w:sz w:val="24"/>
      <w:szCs w:val="24"/>
    </w:rPr>
  </w:style>
  <w:style w:type="character" w:customStyle="1" w:styleId="29">
    <w:name w:val="标题 9 Char"/>
    <w:link w:val="10"/>
    <w:semiHidden/>
    <w:qFormat/>
    <w:locked/>
    <w:uiPriority w:val="99"/>
    <w:rPr>
      <w:rFonts w:ascii="Cambria" w:hAnsi="Cambria" w:eastAsia="宋体" w:cs="Times New Roman"/>
    </w:rPr>
  </w:style>
  <w:style w:type="character" w:customStyle="1" w:styleId="30">
    <w:name w:val="批注框文本 Char"/>
    <w:link w:val="11"/>
    <w:semiHidden/>
    <w:qFormat/>
    <w:locked/>
    <w:uiPriority w:val="99"/>
    <w:rPr>
      <w:rFonts w:ascii="Times New Roman" w:hAnsi="Times New Roman" w:eastAsia="宋体" w:cs="Times New Roman"/>
      <w:kern w:val="2"/>
      <w:sz w:val="18"/>
      <w:szCs w:val="18"/>
    </w:rPr>
  </w:style>
  <w:style w:type="character" w:customStyle="1" w:styleId="31">
    <w:name w:val="页脚 Char"/>
    <w:link w:val="12"/>
    <w:qFormat/>
    <w:locked/>
    <w:uiPriority w:val="99"/>
    <w:rPr>
      <w:rFonts w:ascii="Calibri" w:hAnsi="Calibri" w:eastAsia="宋体" w:cs="Times New Roman"/>
      <w:kern w:val="2"/>
      <w:sz w:val="18"/>
      <w:szCs w:val="18"/>
    </w:rPr>
  </w:style>
  <w:style w:type="character" w:customStyle="1" w:styleId="32">
    <w:name w:val="页眉 Char"/>
    <w:link w:val="13"/>
    <w:qFormat/>
    <w:locked/>
    <w:uiPriority w:val="99"/>
    <w:rPr>
      <w:rFonts w:ascii="Calibri" w:hAnsi="Calibri" w:eastAsia="宋体" w:cs="Times New Roman"/>
      <w:kern w:val="2"/>
      <w:sz w:val="18"/>
      <w:szCs w:val="18"/>
    </w:rPr>
  </w:style>
  <w:style w:type="character" w:customStyle="1" w:styleId="33">
    <w:name w:val="副标题 Char"/>
    <w:link w:val="14"/>
    <w:qFormat/>
    <w:locked/>
    <w:uiPriority w:val="99"/>
    <w:rPr>
      <w:rFonts w:ascii="Cambria" w:hAnsi="Cambria" w:eastAsia="宋体" w:cs="Times New Roman"/>
      <w:sz w:val="24"/>
      <w:szCs w:val="24"/>
    </w:rPr>
  </w:style>
  <w:style w:type="character" w:customStyle="1" w:styleId="34">
    <w:name w:val="标题 Char"/>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qFormat/>
    <w:uiPriority w:val="99"/>
    <w:rPr>
      <w:rFonts w:cs="Times New Roman"/>
      <w:b/>
      <w:i/>
      <w:sz w:val="24"/>
      <w:szCs w:val="24"/>
      <w:u w:val="single"/>
    </w:rPr>
  </w:style>
  <w:style w:type="character" w:customStyle="1" w:styleId="43">
    <w:name w:val="不明显参考1"/>
    <w:qFormat/>
    <w:uiPriority w:val="99"/>
    <w:rPr>
      <w:rFonts w:cs="Times New Roman"/>
      <w:sz w:val="24"/>
      <w:szCs w:val="24"/>
      <w:u w:val="single"/>
    </w:rPr>
  </w:style>
  <w:style w:type="character" w:customStyle="1" w:styleId="44">
    <w:name w:val="明显参考1"/>
    <w:qFormat/>
    <w:uiPriority w:val="99"/>
    <w:rPr>
      <w:rFonts w:cs="Times New Roman"/>
      <w:b/>
      <w:sz w:val="24"/>
      <w:u w:val="single"/>
    </w:rPr>
  </w:style>
  <w:style w:type="character" w:customStyle="1" w:styleId="45">
    <w:name w:val="书籍标题1"/>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348</Words>
  <Characters>1985</Characters>
  <Lines>16</Lines>
  <Paragraphs>4</Paragraphs>
  <TotalTime>0</TotalTime>
  <ScaleCrop>false</ScaleCrop>
  <LinksUpToDate>false</LinksUpToDate>
  <CharactersWithSpaces>2329</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2019-10-25T12:54:23Z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