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项目名称：禁毒经费</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实施单位（公章）：玛纳斯县公安局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2019</w:t>
      </w:r>
      <w:r>
        <w:rPr>
          <w:rFonts w:hint="eastAsia" w:hAnsi="宋体" w:eastAsia="仿宋_GB2312" w:cs="宋体"/>
          <w:kern w:val="0"/>
          <w:sz w:val="36"/>
          <w:szCs w:val="36"/>
        </w:rPr>
        <w:t>年</w:t>
      </w:r>
      <w:r>
        <w:rPr>
          <w:rFonts w:hAnsi="宋体" w:eastAsia="仿宋_GB2312" w:cs="宋体"/>
          <w:kern w:val="0"/>
          <w:sz w:val="36"/>
          <w:szCs w:val="36"/>
        </w:rPr>
        <w:t>1</w:t>
      </w:r>
      <w:r>
        <w:rPr>
          <w:rFonts w:hint="eastAsia" w:hAnsi="宋体" w:eastAsia="仿宋_GB2312" w:cs="宋体"/>
          <w:kern w:val="0"/>
          <w:sz w:val="36"/>
          <w:szCs w:val="36"/>
        </w:rPr>
        <w:t>月</w:t>
      </w:r>
      <w:r>
        <w:rPr>
          <w:rFonts w:hAnsi="宋体" w:eastAsia="仿宋_GB2312" w:cs="宋体"/>
          <w:kern w:val="0"/>
          <w:sz w:val="36"/>
          <w:szCs w:val="36"/>
        </w:rPr>
        <w:t>15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主要职能：（1）、保持严打高压，继续深化对敌斗争；（2）、坚持多措并举，强化社会治安防控；（3）、坚持综合施策，强化行政服务管理；（4）、深化四项建设，打牢公安基层基础</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机构情况：我单位机构数1个、共有职能部门30个。</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line="540" w:lineRule="exact"/>
        <w:ind w:firstLine="564" w:firstLineChars="181"/>
        <w:jc w:val="left"/>
        <w:rPr>
          <w:rStyle w:val="19"/>
          <w:rFonts w:hint="eastAsia" w:ascii="仿宋" w:hAnsi="仿宋" w:eastAsia="仿宋"/>
          <w:b w:val="0"/>
          <w:spacing w:val="-4"/>
          <w:sz w:val="32"/>
          <w:szCs w:val="32"/>
          <w:highlight w:val="none"/>
          <w:lang w:eastAsia="zh-CN"/>
        </w:rPr>
      </w:pPr>
      <w:r>
        <w:rPr>
          <w:rStyle w:val="19"/>
          <w:rFonts w:hint="eastAsia" w:ascii="仿宋" w:hAnsi="仿宋" w:eastAsia="仿宋"/>
          <w:b w:val="0"/>
          <w:spacing w:val="-4"/>
          <w:sz w:val="32"/>
          <w:szCs w:val="32"/>
          <w:highlight w:val="none"/>
        </w:rPr>
        <w:t>预期目标及阶段性目标</w:t>
      </w:r>
      <w:r>
        <w:rPr>
          <w:rStyle w:val="19"/>
          <w:rFonts w:hint="eastAsia" w:ascii="仿宋" w:hAnsi="仿宋" w:eastAsia="仿宋"/>
          <w:b w:val="0"/>
          <w:spacing w:val="-4"/>
          <w:sz w:val="32"/>
          <w:szCs w:val="32"/>
          <w:highlight w:val="none"/>
          <w:lang w:eastAsia="zh-CN"/>
        </w:rPr>
        <w:t>：预防和惩治毒品违法犯罪行为，保护公民身心健康，维护社会秩序工作，加大宣传力度，抑制犯罪数，维护社会稳定。</w:t>
      </w:r>
    </w:p>
    <w:p>
      <w:pPr>
        <w:keepNext w:val="0"/>
        <w:keepLines w:val="0"/>
        <w:pageBreakBefore w:val="0"/>
        <w:widowControl w:val="0"/>
        <w:kinsoku/>
        <w:wordWrap/>
        <w:overflowPunct/>
        <w:topLinePunct w:val="0"/>
        <w:autoSpaceDE/>
        <w:autoSpaceDN/>
        <w:bidi w:val="0"/>
        <w:spacing w:after="0" w:line="540" w:lineRule="exact"/>
        <w:ind w:firstLine="564" w:firstLineChars="181"/>
        <w:jc w:val="left"/>
        <w:textAlignment w:val="auto"/>
        <w:outlineLvl w:val="9"/>
        <w:rPr>
          <w:rStyle w:val="19"/>
          <w:rFonts w:hint="eastAsia" w:ascii="仿宋" w:hAnsi="仿宋" w:eastAsia="仿宋"/>
          <w:b w:val="0"/>
          <w:spacing w:val="-4"/>
          <w:sz w:val="32"/>
          <w:szCs w:val="32"/>
          <w:highlight w:val="none"/>
          <w:lang w:val="en-US" w:eastAsia="zh-CN"/>
        </w:rPr>
      </w:pPr>
      <w:r>
        <w:rPr>
          <w:rStyle w:val="19"/>
          <w:rFonts w:hint="eastAsia" w:ascii="仿宋" w:hAnsi="仿宋" w:eastAsia="仿宋"/>
          <w:b w:val="0"/>
          <w:spacing w:val="-4"/>
          <w:sz w:val="32"/>
          <w:szCs w:val="32"/>
          <w:highlight w:val="none"/>
        </w:rPr>
        <w:t>项目基本性质、用途和主要内容、涉及范围</w:t>
      </w:r>
      <w:r>
        <w:rPr>
          <w:rStyle w:val="19"/>
          <w:rFonts w:hint="eastAsia" w:ascii="仿宋" w:hAnsi="仿宋" w:eastAsia="仿宋"/>
          <w:b w:val="0"/>
          <w:spacing w:val="-4"/>
          <w:sz w:val="32"/>
          <w:szCs w:val="32"/>
          <w:highlight w:val="none"/>
          <w:lang w:eastAsia="zh-CN"/>
        </w:rPr>
        <w:t>：</w:t>
      </w:r>
      <w:r>
        <w:rPr>
          <w:rStyle w:val="19"/>
          <w:rFonts w:hint="eastAsia" w:ascii="仿宋" w:hAnsi="仿宋" w:eastAsia="仿宋"/>
          <w:b w:val="0"/>
          <w:spacing w:val="-4"/>
          <w:sz w:val="32"/>
          <w:szCs w:val="32"/>
          <w:highlight w:val="none"/>
          <w:lang w:val="en-US" w:eastAsia="zh-CN"/>
        </w:rPr>
        <w:t>本项目共设置一级指标3个、二级指标9个、三级指标12个指标。三级指标可量化9个，占比75%。具体完成</w:t>
      </w:r>
      <w:r>
        <w:rPr>
          <w:rStyle w:val="19"/>
          <w:rFonts w:hint="eastAsia" w:ascii="仿宋" w:hAnsi="仿宋" w:eastAsia="仿宋"/>
          <w:b w:val="0"/>
          <w:spacing w:val="-4"/>
          <w:sz w:val="32"/>
          <w:szCs w:val="32"/>
          <w:lang w:eastAsia="zh-CN"/>
        </w:rPr>
        <w:t>抓获犯罪嫌疑人</w:t>
      </w:r>
      <w:r>
        <w:rPr>
          <w:rStyle w:val="19"/>
          <w:rFonts w:hint="eastAsia" w:ascii="仿宋" w:hAnsi="仿宋" w:eastAsia="仿宋"/>
          <w:b w:val="0"/>
          <w:spacing w:val="-4"/>
          <w:sz w:val="32"/>
          <w:szCs w:val="32"/>
          <w:lang w:val="en-US" w:eastAsia="zh-CN"/>
        </w:rPr>
        <w:t>20人</w:t>
      </w:r>
      <w:r>
        <w:rPr>
          <w:rStyle w:val="19"/>
          <w:rFonts w:hint="eastAsia" w:ascii="仿宋" w:hAnsi="仿宋" w:eastAsia="仿宋"/>
          <w:b w:val="0"/>
          <w:spacing w:val="-4"/>
          <w:sz w:val="32"/>
          <w:szCs w:val="32"/>
          <w:lang w:eastAsia="zh-CN"/>
        </w:rPr>
        <w:t>，破获刑事案件</w:t>
      </w:r>
      <w:r>
        <w:rPr>
          <w:rStyle w:val="19"/>
          <w:rFonts w:hint="eastAsia" w:ascii="仿宋" w:hAnsi="仿宋" w:eastAsia="仿宋"/>
          <w:b w:val="0"/>
          <w:spacing w:val="-4"/>
          <w:sz w:val="32"/>
          <w:szCs w:val="32"/>
          <w:lang w:val="en-US" w:eastAsia="zh-CN"/>
        </w:rPr>
        <w:t>起8</w:t>
      </w:r>
      <w:r>
        <w:rPr>
          <w:rStyle w:val="19"/>
          <w:rFonts w:hint="eastAsia" w:ascii="仿宋" w:hAnsi="仿宋" w:eastAsia="仿宋"/>
          <w:b w:val="0"/>
          <w:spacing w:val="-4"/>
          <w:sz w:val="32"/>
          <w:szCs w:val="32"/>
          <w:lang w:eastAsia="zh-CN"/>
        </w:rPr>
        <w:t>，缴获毒品、大麻、罂粟</w:t>
      </w:r>
      <w:r>
        <w:rPr>
          <w:rStyle w:val="19"/>
          <w:rFonts w:hint="eastAsia" w:ascii="仿宋" w:hAnsi="仿宋" w:eastAsia="仿宋"/>
          <w:b w:val="0"/>
          <w:spacing w:val="-4"/>
          <w:sz w:val="32"/>
          <w:szCs w:val="32"/>
          <w:lang w:val="en-US" w:eastAsia="zh-CN"/>
        </w:rPr>
        <w:t>9200个。</w:t>
      </w:r>
      <w:r>
        <w:rPr>
          <w:rStyle w:val="19"/>
          <w:rFonts w:hint="eastAsia" w:ascii="仿宋" w:hAnsi="仿宋" w:eastAsia="仿宋"/>
          <w:b w:val="0"/>
          <w:spacing w:val="-4"/>
          <w:sz w:val="32"/>
          <w:szCs w:val="32"/>
          <w:highlight w:val="none"/>
          <w:lang w:eastAsia="zh-CN"/>
        </w:rPr>
        <w:t>经费主要用于公安局禁毒大队办公经费、办案差旅费、特殊办案材料费用。</w:t>
      </w:r>
      <w:r>
        <w:rPr>
          <w:rStyle w:val="19"/>
          <w:rFonts w:hint="eastAsia" w:ascii="仿宋" w:hAnsi="仿宋" w:eastAsia="仿宋"/>
          <w:b w:val="0"/>
          <w:spacing w:val="-4"/>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58" w:firstLineChars="242"/>
        <w:jc w:val="both"/>
        <w:textAlignment w:val="auto"/>
        <w:rPr>
          <w:rStyle w:val="19"/>
          <w:rFonts w:hint="eastAsia" w:ascii="方正仿宋_GBK" w:hAnsi="方正仿宋_GBK" w:eastAsia="方正仿宋_GBK" w:cs="方正仿宋_GBK"/>
          <w:b/>
          <w:bCs w:val="0"/>
          <w:spacing w:val="-4"/>
          <w:sz w:val="32"/>
          <w:szCs w:val="32"/>
        </w:rPr>
      </w:pPr>
      <w:r>
        <w:rPr>
          <w:rStyle w:val="19"/>
          <w:rFonts w:hint="eastAsia" w:ascii="方正仿宋_GBK" w:hAnsi="方正仿宋_GBK" w:eastAsia="方正仿宋_GBK" w:cs="方正仿宋_GBK"/>
          <w:b/>
          <w:bCs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玛纳斯县公安局禁毒项目</w:t>
      </w:r>
      <w:r>
        <w:rPr>
          <w:rStyle w:val="19"/>
          <w:rFonts w:hint="eastAsia" w:ascii="仿宋" w:hAnsi="仿宋" w:eastAsia="仿宋"/>
          <w:b w:val="0"/>
          <w:spacing w:val="-4"/>
          <w:sz w:val="32"/>
          <w:szCs w:val="32"/>
          <w:lang w:val="en-US" w:eastAsia="zh-CN"/>
        </w:rPr>
        <w:t>2018年安排总金额29.3万元。项目资金为</w:t>
      </w:r>
      <w:r>
        <w:rPr>
          <w:rStyle w:val="19"/>
          <w:rFonts w:hint="eastAsia" w:ascii="仿宋" w:hAnsi="仿宋" w:eastAsia="仿宋"/>
          <w:b w:val="0"/>
          <w:bCs/>
          <w:spacing w:val="-4"/>
          <w:sz w:val="32"/>
          <w:szCs w:val="32"/>
          <w:lang w:val="en-US" w:eastAsia="zh-CN"/>
        </w:rPr>
        <w:t>自治区</w:t>
      </w:r>
      <w:r>
        <w:rPr>
          <w:rStyle w:val="19"/>
          <w:rFonts w:hint="eastAsia" w:ascii="仿宋" w:hAnsi="仿宋" w:eastAsia="仿宋"/>
          <w:b w:val="0"/>
          <w:bCs/>
          <w:spacing w:val="-4"/>
          <w:sz w:val="32"/>
          <w:szCs w:val="32"/>
          <w:lang w:eastAsia="zh-CN"/>
        </w:rPr>
        <w:t>财政安排</w:t>
      </w:r>
      <w:r>
        <w:rPr>
          <w:rStyle w:val="19"/>
          <w:rFonts w:hint="eastAsia" w:ascii="仿宋" w:hAnsi="仿宋" w:eastAsia="仿宋"/>
          <w:b w:val="0"/>
          <w:bCs/>
          <w:spacing w:val="-4"/>
          <w:sz w:val="32"/>
          <w:szCs w:val="32"/>
          <w:lang w:val="en-US" w:eastAsia="zh-CN"/>
        </w:rPr>
        <w:t>29.3万元</w:t>
      </w:r>
      <w:bookmarkStart w:id="0" w:name="_GoBack"/>
      <w:bookmarkEnd w:id="0"/>
      <w:r>
        <w:rPr>
          <w:rStyle w:val="19"/>
          <w:rFonts w:hint="eastAsia" w:ascii="仿宋" w:hAnsi="仿宋" w:eastAsia="仿宋"/>
          <w:b w:val="0"/>
          <w:bCs/>
          <w:spacing w:val="-4"/>
          <w:sz w:val="32"/>
          <w:szCs w:val="32"/>
          <w:lang w:val="en-US" w:eastAsia="zh-CN"/>
        </w:rPr>
        <w:t>，</w:t>
      </w:r>
      <w:r>
        <w:rPr>
          <w:rStyle w:val="19"/>
          <w:rFonts w:hint="eastAsia" w:ascii="仿宋" w:hAnsi="仿宋" w:eastAsia="仿宋"/>
          <w:b w:val="0"/>
          <w:spacing w:val="-4"/>
          <w:sz w:val="32"/>
          <w:szCs w:val="32"/>
          <w:lang w:val="en-US" w:eastAsia="zh-CN"/>
        </w:rPr>
        <w:t>资金已全部到位，执行率100%。</w:t>
      </w:r>
      <w:r>
        <w:rPr>
          <w:rStyle w:val="19"/>
          <w:rFonts w:hint="eastAsia" w:ascii="仿宋" w:hAnsi="仿宋" w:eastAsia="仿宋"/>
          <w:b w:val="0"/>
          <w:spacing w:val="-4"/>
          <w:sz w:val="32"/>
          <w:szCs w:val="32"/>
          <w:lang w:eastAsia="zh-CN"/>
        </w:rPr>
        <w:t>由我局统一向财政局申请，由禁毒大队按需报销相关票据。</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eastAsia="zh-CN"/>
        </w:rPr>
        <w:t>本项目资金总计</w:t>
      </w:r>
      <w:r>
        <w:rPr>
          <w:rStyle w:val="19"/>
          <w:rFonts w:hint="eastAsia" w:ascii="仿宋" w:hAnsi="仿宋" w:eastAsia="仿宋"/>
          <w:b w:val="0"/>
          <w:spacing w:val="-4"/>
          <w:sz w:val="32"/>
          <w:szCs w:val="32"/>
          <w:lang w:val="en-US" w:eastAsia="zh-CN"/>
        </w:rPr>
        <w:t>29.3万元，</w:t>
      </w:r>
      <w:r>
        <w:rPr>
          <w:rStyle w:val="19"/>
          <w:rFonts w:hint="eastAsia" w:ascii="仿宋" w:hAnsi="仿宋" w:eastAsia="仿宋"/>
          <w:b w:val="0"/>
          <w:spacing w:val="-4"/>
          <w:sz w:val="32"/>
          <w:szCs w:val="32"/>
        </w:rPr>
        <w:t>预算执行率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rPr>
        <w:t>%，项目资金主要用于支付办公费3</w:t>
      </w:r>
      <w:r>
        <w:rPr>
          <w:rStyle w:val="19"/>
          <w:rFonts w:hint="eastAsia" w:ascii="仿宋" w:hAnsi="仿宋" w:eastAsia="仿宋"/>
          <w:b w:val="0"/>
          <w:spacing w:val="-4"/>
          <w:sz w:val="32"/>
          <w:szCs w:val="32"/>
          <w:lang w:val="en-US" w:eastAsia="zh-CN"/>
        </w:rPr>
        <w:t>.6万</w:t>
      </w:r>
      <w:r>
        <w:rPr>
          <w:rStyle w:val="19"/>
          <w:rFonts w:hint="eastAsia" w:ascii="仿宋" w:hAnsi="仿宋" w:eastAsia="仿宋"/>
          <w:b w:val="0"/>
          <w:spacing w:val="-4"/>
          <w:sz w:val="32"/>
          <w:szCs w:val="32"/>
        </w:rPr>
        <w:t>元，办公差旅费3</w:t>
      </w:r>
      <w:r>
        <w:rPr>
          <w:rStyle w:val="19"/>
          <w:rFonts w:hint="eastAsia" w:ascii="仿宋" w:hAnsi="仿宋" w:eastAsia="仿宋"/>
          <w:b w:val="0"/>
          <w:spacing w:val="-4"/>
          <w:sz w:val="32"/>
          <w:szCs w:val="32"/>
          <w:lang w:eastAsia="zh-CN"/>
        </w:rPr>
        <w:t>万</w:t>
      </w:r>
      <w:r>
        <w:rPr>
          <w:rStyle w:val="19"/>
          <w:rFonts w:hint="eastAsia" w:ascii="仿宋" w:hAnsi="仿宋" w:eastAsia="仿宋"/>
          <w:b w:val="0"/>
          <w:spacing w:val="-4"/>
          <w:sz w:val="32"/>
          <w:szCs w:val="32"/>
        </w:rPr>
        <w:t>元，办案耗材费22</w:t>
      </w:r>
      <w:r>
        <w:rPr>
          <w:rStyle w:val="19"/>
          <w:rFonts w:hint="eastAsia" w:ascii="仿宋" w:hAnsi="仿宋" w:eastAsia="仿宋"/>
          <w:b w:val="0"/>
          <w:spacing w:val="-4"/>
          <w:sz w:val="32"/>
          <w:szCs w:val="32"/>
          <w:lang w:val="en-US" w:eastAsia="zh-CN"/>
        </w:rPr>
        <w:t>.</w:t>
      </w:r>
      <w:r>
        <w:rPr>
          <w:rStyle w:val="19"/>
          <w:rFonts w:hint="eastAsia" w:ascii="仿宋" w:hAnsi="仿宋" w:eastAsia="仿宋"/>
          <w:b w:val="0"/>
          <w:spacing w:val="-4"/>
          <w:sz w:val="32"/>
          <w:szCs w:val="32"/>
        </w:rPr>
        <w:t>7</w:t>
      </w:r>
      <w:r>
        <w:rPr>
          <w:rStyle w:val="19"/>
          <w:rFonts w:hint="eastAsia" w:ascii="仿宋" w:hAnsi="仿宋" w:eastAsia="仿宋"/>
          <w:b w:val="0"/>
          <w:spacing w:val="-4"/>
          <w:sz w:val="32"/>
          <w:szCs w:val="32"/>
          <w:lang w:eastAsia="zh-CN"/>
        </w:rPr>
        <w:t>万</w:t>
      </w:r>
      <w:r>
        <w:rPr>
          <w:rStyle w:val="19"/>
          <w:rFonts w:hint="eastAsia" w:ascii="仿宋" w:hAnsi="仿宋" w:eastAsia="仿宋"/>
          <w:b w:val="0"/>
          <w:spacing w:val="-4"/>
          <w:sz w:val="32"/>
          <w:szCs w:val="32"/>
        </w:rPr>
        <w:t>元，结余资金</w:t>
      </w:r>
      <w:r>
        <w:rPr>
          <w:rStyle w:val="19"/>
          <w:rFonts w:hint="eastAsia" w:ascii="仿宋" w:hAnsi="仿宋" w:eastAsia="仿宋"/>
          <w:b w:val="0"/>
          <w:spacing w:val="-4"/>
          <w:sz w:val="32"/>
          <w:szCs w:val="32"/>
          <w:lang w:val="en-US" w:eastAsia="zh-CN"/>
        </w:rPr>
        <w:t>0</w:t>
      </w:r>
      <w:r>
        <w:rPr>
          <w:rStyle w:val="19"/>
          <w:rFonts w:hint="eastAsia" w:ascii="仿宋" w:hAnsi="仿宋" w:eastAsia="仿宋"/>
          <w:b w:val="0"/>
          <w:spacing w:val="-4"/>
          <w:sz w:val="32"/>
          <w:szCs w:val="32"/>
        </w:rPr>
        <w:t>万元</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lang w:val="en-US" w:eastAsia="zh-CN"/>
        </w:rPr>
        <w:t>资金使用完成率100%。</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rPr>
        <w:t>本项目支出符合玛纳斯县</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相关财务管理制度</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我局根据上级主管部门要求项目资金的使用严格按照各项规章制度执行运转</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财务收支审批制度、财务稽核制度、会计主管岗位职责等制度规定</w:t>
      </w:r>
      <w:r>
        <w:rPr>
          <w:rStyle w:val="19"/>
          <w:rFonts w:hint="eastAsia" w:ascii="仿宋" w:hAnsi="仿宋" w:eastAsia="仿宋"/>
          <w:b w:val="0"/>
          <w:spacing w:val="-4"/>
          <w:sz w:val="32"/>
          <w:szCs w:val="32"/>
          <w:lang w:eastAsia="zh-CN"/>
        </w:rPr>
        <w:t>，按照谁主管、谁负责的原则，明确项目管理和实施的具体责任；</w:t>
      </w:r>
      <w:r>
        <w:rPr>
          <w:rStyle w:val="19"/>
          <w:rFonts w:hint="eastAsia" w:ascii="仿宋" w:hAnsi="仿宋" w:eastAsia="仿宋"/>
          <w:b w:val="0"/>
          <w:spacing w:val="-4"/>
          <w:sz w:val="32"/>
          <w:szCs w:val="32"/>
          <w:lang w:val="en-US" w:eastAsia="zh-CN"/>
        </w:rPr>
        <w:t>项目资金严格按照工程进度支付；严格执行专项资金管理办法；四是项目资金实行报账制，由专人管理；项目资金无截留、滞留、违规抵扣等现象。</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spacing w:after="0" w:line="540" w:lineRule="exact"/>
        <w:ind w:firstLine="564" w:firstLineChars="181"/>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项目投标情况：</w:t>
      </w:r>
      <w:r>
        <w:rPr>
          <w:rStyle w:val="19"/>
          <w:rFonts w:hint="eastAsia" w:ascii="仿宋" w:hAnsi="仿宋" w:eastAsia="仿宋"/>
          <w:b w:val="0"/>
          <w:spacing w:val="-4"/>
          <w:sz w:val="32"/>
          <w:szCs w:val="32"/>
          <w:lang w:val="en-US" w:eastAsia="zh-CN"/>
        </w:rPr>
        <w:t>实际项</w:t>
      </w:r>
      <w:r>
        <w:rPr>
          <w:rStyle w:val="19"/>
          <w:rFonts w:hint="eastAsia" w:ascii="仿宋" w:hAnsi="仿宋" w:eastAsia="仿宋"/>
          <w:b w:val="0"/>
          <w:spacing w:val="-4"/>
          <w:sz w:val="32"/>
          <w:szCs w:val="32"/>
          <w:lang w:eastAsia="zh-CN"/>
        </w:rPr>
        <w:t>目总投入</w:t>
      </w:r>
      <w:r>
        <w:rPr>
          <w:rStyle w:val="19"/>
          <w:rFonts w:hint="eastAsia" w:ascii="仿宋" w:hAnsi="仿宋" w:eastAsia="仿宋"/>
          <w:b w:val="0"/>
          <w:spacing w:val="-4"/>
          <w:sz w:val="32"/>
          <w:szCs w:val="32"/>
          <w:lang w:val="en-US" w:eastAsia="zh-CN"/>
        </w:rPr>
        <w:t>29.3万元。主要用于</w:t>
      </w:r>
      <w:r>
        <w:rPr>
          <w:rStyle w:val="19"/>
          <w:rFonts w:hint="eastAsia" w:ascii="仿宋" w:hAnsi="仿宋" w:eastAsia="仿宋"/>
          <w:b w:val="0"/>
          <w:spacing w:val="-4"/>
          <w:sz w:val="32"/>
          <w:szCs w:val="32"/>
        </w:rPr>
        <w:t>支付办公费3</w:t>
      </w:r>
      <w:r>
        <w:rPr>
          <w:rStyle w:val="19"/>
          <w:rFonts w:hint="eastAsia" w:ascii="仿宋" w:hAnsi="仿宋" w:eastAsia="仿宋"/>
          <w:b w:val="0"/>
          <w:spacing w:val="-4"/>
          <w:sz w:val="32"/>
          <w:szCs w:val="32"/>
          <w:lang w:val="en-US" w:eastAsia="zh-CN"/>
        </w:rPr>
        <w:t>.6万</w:t>
      </w:r>
      <w:r>
        <w:rPr>
          <w:rStyle w:val="19"/>
          <w:rFonts w:hint="eastAsia" w:ascii="仿宋" w:hAnsi="仿宋" w:eastAsia="仿宋"/>
          <w:b w:val="0"/>
          <w:spacing w:val="-4"/>
          <w:sz w:val="32"/>
          <w:szCs w:val="32"/>
        </w:rPr>
        <w:t>元，办公差旅费3</w:t>
      </w:r>
      <w:r>
        <w:rPr>
          <w:rStyle w:val="19"/>
          <w:rFonts w:hint="eastAsia" w:ascii="仿宋" w:hAnsi="仿宋" w:eastAsia="仿宋"/>
          <w:b w:val="0"/>
          <w:spacing w:val="-4"/>
          <w:sz w:val="32"/>
          <w:szCs w:val="32"/>
          <w:lang w:eastAsia="zh-CN"/>
        </w:rPr>
        <w:t>万</w:t>
      </w:r>
      <w:r>
        <w:rPr>
          <w:rStyle w:val="19"/>
          <w:rFonts w:hint="eastAsia" w:ascii="仿宋" w:hAnsi="仿宋" w:eastAsia="仿宋"/>
          <w:b w:val="0"/>
          <w:spacing w:val="-4"/>
          <w:sz w:val="32"/>
          <w:szCs w:val="32"/>
        </w:rPr>
        <w:t>元，办案耗材费22</w:t>
      </w:r>
      <w:r>
        <w:rPr>
          <w:rStyle w:val="19"/>
          <w:rFonts w:hint="eastAsia" w:ascii="仿宋" w:hAnsi="仿宋" w:eastAsia="仿宋"/>
          <w:b w:val="0"/>
          <w:spacing w:val="-4"/>
          <w:sz w:val="32"/>
          <w:szCs w:val="32"/>
          <w:lang w:val="en-US" w:eastAsia="zh-CN"/>
        </w:rPr>
        <w:t>.</w:t>
      </w:r>
      <w:r>
        <w:rPr>
          <w:rStyle w:val="19"/>
          <w:rFonts w:hint="eastAsia" w:ascii="仿宋" w:hAnsi="仿宋" w:eastAsia="仿宋"/>
          <w:b w:val="0"/>
          <w:spacing w:val="-4"/>
          <w:sz w:val="32"/>
          <w:szCs w:val="32"/>
        </w:rPr>
        <w:t>7</w:t>
      </w:r>
      <w:r>
        <w:rPr>
          <w:rStyle w:val="19"/>
          <w:rFonts w:hint="eastAsia" w:ascii="仿宋" w:hAnsi="仿宋" w:eastAsia="仿宋"/>
          <w:b w:val="0"/>
          <w:spacing w:val="-4"/>
          <w:sz w:val="32"/>
          <w:szCs w:val="32"/>
          <w:lang w:eastAsia="zh-CN"/>
        </w:rPr>
        <w:t>万</w:t>
      </w:r>
      <w:r>
        <w:rPr>
          <w:rStyle w:val="19"/>
          <w:rFonts w:hint="eastAsia" w:ascii="仿宋" w:hAnsi="仿宋" w:eastAsia="仿宋"/>
          <w:b w:val="0"/>
          <w:spacing w:val="-4"/>
          <w:sz w:val="32"/>
          <w:szCs w:val="32"/>
        </w:rPr>
        <w:t>元，我局禁毒经费属专项经费，由本单位自行组织实施。实施过程均按照</w:t>
      </w:r>
      <w:r>
        <w:rPr>
          <w:rStyle w:val="19"/>
          <w:rFonts w:hint="eastAsia" w:ascii="仿宋" w:hAnsi="仿宋" w:eastAsia="仿宋"/>
          <w:b w:val="0"/>
          <w:spacing w:val="-4"/>
          <w:sz w:val="32"/>
          <w:szCs w:val="32"/>
          <w:lang w:eastAsia="zh-CN"/>
        </w:rPr>
        <w:t>公安局</w:t>
      </w:r>
      <w:r>
        <w:rPr>
          <w:rStyle w:val="19"/>
          <w:rFonts w:hint="eastAsia" w:ascii="仿宋" w:hAnsi="仿宋" w:eastAsia="仿宋"/>
          <w:b w:val="0"/>
          <w:spacing w:val="-4"/>
          <w:sz w:val="32"/>
          <w:szCs w:val="32"/>
        </w:rPr>
        <w:t>制定的项目管理制度执行。项目资金无调整情况。</w:t>
      </w:r>
    </w:p>
    <w:p>
      <w:pPr>
        <w:spacing w:line="540" w:lineRule="exact"/>
        <w:ind w:firstLine="567" w:firstLineChars="181"/>
        <w:rPr>
          <w:rStyle w:val="19"/>
          <w:rFonts w:ascii="仿宋" w:hAnsi="仿宋" w:eastAsia="仿宋"/>
          <w:b w:val="0"/>
          <w:spacing w:val="-4"/>
          <w:sz w:val="32"/>
          <w:szCs w:val="32"/>
        </w:rPr>
      </w:pPr>
      <w:r>
        <w:rPr>
          <w:rStyle w:val="19"/>
          <w:rFonts w:hint="eastAsia" w:ascii="楷体" w:hAnsi="楷体" w:eastAsia="楷体"/>
          <w:spacing w:val="-4"/>
          <w:sz w:val="32"/>
          <w:szCs w:val="32"/>
        </w:rPr>
        <w:t>（二）项目管理情况分析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1</w:t>
      </w:r>
      <w:r>
        <w:rPr>
          <w:rStyle w:val="19"/>
          <w:rFonts w:hint="eastAsia" w:ascii="仿宋" w:hAnsi="仿宋" w:eastAsia="仿宋"/>
          <w:b w:val="0"/>
          <w:spacing w:val="-4"/>
          <w:sz w:val="32"/>
          <w:szCs w:val="32"/>
        </w:rPr>
        <w:t>、项目管理制度建设：以努力用好每一分钱，办好每一件事的为原则，不断提高各项经费的管理水平和使用效益。按照公安厅及上级部门制订的相关财务制度，我局也根据单位的实际情况制定了切实可行的《财务管理制度》、《财务岗位职责》《差旅费报销制度》等会计制度，及时学习更新相关规定，根据内部管理的需要，明确了工作岗位职责和权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、日常检查监督管理</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为进一步规范财政资金管理，强化单位责任意识，进一步完善专项资金管理，提高财政资金使用效益，我局先后制定了支出管理制度、专项资金管理制度以及稽核制度，单位项目资金使用严格执行“三重一大”管理制度，对单位重大支出上会讨论，经办人具体实施，主管领导监督，进行层层监督管理。把资金的使用落到实处。我局项目支出的管理贯穿项目的全过程，从项目的设计、施工、技术、相关设施的配套、专项资金的管理使用，到项目的竣工验收。按照我局纪检督查部门的要求，采用询问、参与、检查、调查等方式进行。我局对在工作实施中不按规定办事、玩忽职守、弄虚作假、违反有关廉政建设规定的行为，都要严格查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（一）项目绩效目标完成情况分析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本项目共设置一级指标3个、二级指标9个、三级指标12个指标。</w:t>
      </w:r>
      <w:r>
        <w:rPr>
          <w:rStyle w:val="19"/>
          <w:rFonts w:hint="eastAsia" w:ascii="仿宋" w:hAnsi="仿宋" w:eastAsia="仿宋"/>
          <w:b w:val="0"/>
          <w:spacing w:val="-4"/>
          <w:sz w:val="32"/>
          <w:szCs w:val="32"/>
          <w:lang w:eastAsia="zh-CN"/>
        </w:rPr>
        <w:t>其中已完成三级指标</w:t>
      </w:r>
      <w:r>
        <w:rPr>
          <w:rStyle w:val="19"/>
          <w:rFonts w:hint="eastAsia" w:ascii="仿宋" w:hAnsi="仿宋" w:eastAsia="仿宋"/>
          <w:b w:val="0"/>
          <w:spacing w:val="-4"/>
          <w:sz w:val="32"/>
          <w:szCs w:val="32"/>
          <w:lang w:val="en-US" w:eastAsia="zh-CN"/>
        </w:rPr>
        <w:t>12</w:t>
      </w:r>
      <w:r>
        <w:rPr>
          <w:rStyle w:val="19"/>
          <w:rFonts w:hint="eastAsia" w:ascii="仿宋" w:hAnsi="仿宋" w:eastAsia="仿宋"/>
          <w:b w:val="0"/>
          <w:spacing w:val="-4"/>
          <w:sz w:val="32"/>
          <w:szCs w:val="32"/>
          <w:lang w:eastAsia="zh-CN"/>
        </w:rPr>
        <w:t>个，指标完成率为</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numPr>
          <w:ilvl w:val="0"/>
          <w:numId w:val="1"/>
        </w:numPr>
        <w:kinsoku/>
        <w:wordWrap/>
        <w:overflowPunct/>
        <w:topLinePunct w:val="0"/>
        <w:autoSpaceDE/>
        <w:autoSpaceDN/>
        <w:bidi w:val="0"/>
        <w:spacing w:after="0" w:line="540" w:lineRule="exact"/>
        <w:ind w:firstLine="567" w:firstLineChars="181"/>
        <w:textAlignment w:val="auto"/>
        <w:outlineLvl w:val="9"/>
        <w:rPr>
          <w:rStyle w:val="19"/>
          <w:rFonts w:hint="eastAsia" w:ascii="仿宋" w:hAnsi="仿宋" w:eastAsia="仿宋"/>
          <w:b/>
          <w:bCs w:val="0"/>
          <w:spacing w:val="-4"/>
          <w:sz w:val="32"/>
          <w:szCs w:val="32"/>
          <w:highlight w:val="none"/>
        </w:rPr>
      </w:pPr>
      <w:r>
        <w:rPr>
          <w:rStyle w:val="19"/>
          <w:rFonts w:hint="eastAsia" w:ascii="仿宋" w:hAnsi="仿宋" w:eastAsia="仿宋"/>
          <w:b/>
          <w:bCs w:val="0"/>
          <w:spacing w:val="-4"/>
          <w:sz w:val="32"/>
          <w:szCs w:val="32"/>
          <w:highlight w:val="none"/>
        </w:rPr>
        <w:t>产出指标完成情况分析。</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（1）项目完成数量。抓获犯罪嫌疑人</w:t>
      </w:r>
      <w:r>
        <w:rPr>
          <w:rStyle w:val="19"/>
          <w:rFonts w:hint="eastAsia" w:ascii="仿宋" w:hAnsi="仿宋" w:eastAsia="仿宋"/>
          <w:b w:val="0"/>
          <w:spacing w:val="-4"/>
          <w:sz w:val="32"/>
          <w:szCs w:val="32"/>
          <w:lang w:val="en-US" w:eastAsia="zh-CN"/>
        </w:rPr>
        <w:t>20人</w:t>
      </w:r>
      <w:r>
        <w:rPr>
          <w:rStyle w:val="19"/>
          <w:rFonts w:hint="eastAsia" w:ascii="仿宋" w:hAnsi="仿宋" w:eastAsia="仿宋"/>
          <w:b w:val="0"/>
          <w:spacing w:val="-4"/>
          <w:sz w:val="32"/>
          <w:szCs w:val="32"/>
          <w:lang w:eastAsia="zh-CN"/>
        </w:rPr>
        <w:t>，破获刑事案件</w:t>
      </w:r>
      <w:r>
        <w:rPr>
          <w:rStyle w:val="19"/>
          <w:rFonts w:hint="eastAsia" w:ascii="仿宋" w:hAnsi="仿宋" w:eastAsia="仿宋"/>
          <w:b w:val="0"/>
          <w:spacing w:val="-4"/>
          <w:sz w:val="32"/>
          <w:szCs w:val="32"/>
          <w:lang w:val="en-US" w:eastAsia="zh-CN"/>
        </w:rPr>
        <w:t>起8</w:t>
      </w:r>
      <w:r>
        <w:rPr>
          <w:rStyle w:val="19"/>
          <w:rFonts w:hint="eastAsia" w:ascii="仿宋" w:hAnsi="仿宋" w:eastAsia="仿宋"/>
          <w:b w:val="0"/>
          <w:spacing w:val="-4"/>
          <w:sz w:val="32"/>
          <w:szCs w:val="32"/>
          <w:lang w:eastAsia="zh-CN"/>
        </w:rPr>
        <w:t>，缴获毒品、大麻、罂粟</w:t>
      </w:r>
      <w:r>
        <w:rPr>
          <w:rStyle w:val="19"/>
          <w:rFonts w:hint="eastAsia" w:ascii="仿宋" w:hAnsi="仿宋" w:eastAsia="仿宋"/>
          <w:b w:val="0"/>
          <w:spacing w:val="-4"/>
          <w:sz w:val="32"/>
          <w:szCs w:val="32"/>
          <w:lang w:val="en-US" w:eastAsia="zh-CN"/>
        </w:rPr>
        <w:t>9200个，</w:t>
      </w:r>
      <w:r>
        <w:rPr>
          <w:rStyle w:val="19"/>
          <w:rFonts w:hint="eastAsia" w:ascii="仿宋" w:hAnsi="仿宋" w:eastAsia="仿宋"/>
          <w:b w:val="0"/>
          <w:spacing w:val="-4"/>
          <w:sz w:val="32"/>
          <w:szCs w:val="32"/>
          <w:lang w:eastAsia="zh-CN"/>
        </w:rPr>
        <w:t>指标完成率100%。保障工作正常运行，实际已按照目标全部完成，完成率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（2）项目完成质量。禁毒经费依法执行率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禁毒案件破获率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，毒品依法收缴率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，实际该项指标已全部完成，完成率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（3）项目时效。资金执行率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（4）项目成本。禁毒专项资金投入</w:t>
      </w:r>
      <w:r>
        <w:rPr>
          <w:rStyle w:val="19"/>
          <w:rFonts w:hint="eastAsia" w:ascii="仿宋" w:hAnsi="仿宋" w:eastAsia="仿宋"/>
          <w:b w:val="0"/>
          <w:spacing w:val="-4"/>
          <w:sz w:val="32"/>
          <w:szCs w:val="32"/>
          <w:lang w:val="en-US" w:eastAsia="zh-CN"/>
        </w:rPr>
        <w:t>29.3万元，</w:t>
      </w:r>
      <w:r>
        <w:rPr>
          <w:rStyle w:val="19"/>
          <w:rFonts w:hint="eastAsia" w:ascii="仿宋" w:hAnsi="仿宋" w:eastAsia="仿宋"/>
          <w:b w:val="0"/>
          <w:spacing w:val="-4"/>
          <w:sz w:val="32"/>
          <w:szCs w:val="32"/>
          <w:lang w:eastAsia="zh-CN"/>
        </w:rPr>
        <w:t>完成率</w:t>
      </w:r>
      <w:r>
        <w:rPr>
          <w:rStyle w:val="19"/>
          <w:rFonts w:hint="eastAsia" w:ascii="仿宋" w:hAnsi="仿宋" w:eastAsia="仿宋"/>
          <w:b w:val="0"/>
          <w:spacing w:val="-4"/>
          <w:sz w:val="32"/>
          <w:szCs w:val="32"/>
          <w:lang w:val="en-US" w:eastAsia="zh-CN"/>
        </w:rPr>
        <w:t>100%</w:t>
      </w:r>
      <w:r>
        <w:rPr>
          <w:rStyle w:val="19"/>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2</w:t>
      </w:r>
      <w:r>
        <w:rPr>
          <w:rStyle w:val="19"/>
          <w:rFonts w:hint="eastAsia" w:ascii="方正仿宋_GBK" w:hAnsi="方正仿宋_GBK" w:eastAsia="方正仿宋_GBK" w:cs="方正仿宋_GBK"/>
          <w:b/>
          <w:bCs/>
          <w:sz w:val="32"/>
          <w:szCs w:val="32"/>
          <w:lang w:eastAsia="zh-CN"/>
        </w:rPr>
        <w:t>、效益</w:t>
      </w:r>
      <w:r>
        <w:rPr>
          <w:rStyle w:val="19"/>
          <w:rFonts w:hint="eastAsia" w:ascii="方正仿宋_GBK" w:hAnsi="方正仿宋_GBK" w:eastAsia="方正仿宋_GBK" w:cs="方正仿宋_GBK"/>
          <w:b/>
          <w:bCs/>
          <w:sz w:val="32"/>
          <w:szCs w:val="32"/>
        </w:rPr>
        <w:t>指标</w:t>
      </w:r>
      <w:r>
        <w:rPr>
          <w:rStyle w:val="19"/>
          <w:rFonts w:hint="eastAsia" w:ascii="方正仿宋_GBK" w:hAnsi="方正仿宋_GBK" w:eastAsia="方正仿宋_GBK" w:cs="方正仿宋_GBK"/>
          <w:b/>
          <w:bCs/>
          <w:sz w:val="32"/>
          <w:szCs w:val="32"/>
          <w:lang w:eastAsia="zh-CN"/>
        </w:rPr>
        <w:t>完成</w:t>
      </w:r>
      <w:r>
        <w:rPr>
          <w:rStyle w:val="19"/>
          <w:rFonts w:hint="eastAsia" w:ascii="方正仿宋_GBK" w:hAnsi="方正仿宋_GBK" w:eastAsia="方正仿宋_GBK" w:cs="方正仿宋_GBK"/>
          <w:b/>
          <w:bCs/>
          <w:sz w:val="32"/>
          <w:szCs w:val="32"/>
        </w:rPr>
        <w:t>情况分析</w:t>
      </w:r>
    </w:p>
    <w:p>
      <w:pPr>
        <w:spacing w:line="600" w:lineRule="exact"/>
        <w:ind w:firstLine="627" w:firstLineChars="196"/>
        <w:jc w:val="left"/>
        <w:rPr>
          <w:rFonts w:hint="eastAsia" w:ascii="仿宋" w:hAnsi="仿宋" w:eastAsia="仿宋" w:cs="仿宋"/>
          <w:b w:val="0"/>
          <w:bCs/>
          <w:color w:val="auto"/>
          <w:kern w:val="0"/>
          <w:sz w:val="32"/>
          <w:szCs w:val="32"/>
          <w:lang w:eastAsia="zh-CN"/>
        </w:rPr>
      </w:pPr>
      <w:r>
        <w:rPr>
          <w:rStyle w:val="19"/>
          <w:rFonts w:hint="eastAsia" w:ascii="方正仿宋_GBK" w:hAnsi="方正仿宋_GBK" w:eastAsia="方正仿宋_GBK" w:cs="方正仿宋_GBK"/>
          <w:b w:val="0"/>
          <w:bCs w:val="0"/>
          <w:sz w:val="32"/>
          <w:szCs w:val="32"/>
          <w:highlight w:val="none"/>
        </w:rPr>
        <w:t>（</w:t>
      </w:r>
      <w:r>
        <w:rPr>
          <w:rFonts w:hint="eastAsia" w:ascii="仿宋" w:hAnsi="仿宋" w:eastAsia="仿宋" w:cs="仿宋"/>
          <w:b w:val="0"/>
          <w:bCs/>
          <w:color w:val="auto"/>
          <w:kern w:val="0"/>
          <w:sz w:val="32"/>
          <w:szCs w:val="32"/>
          <w:lang w:eastAsia="zh-CN"/>
        </w:rPr>
        <w:t>1）项目实施的社会效益指标。毒品犯罪案件发案明显减少，维护社会治安明显好转稳定，严厉打击毒品犯罪。已完成该项指标，完成率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spacing w:line="600" w:lineRule="exact"/>
        <w:ind w:firstLine="627" w:firstLineChars="196"/>
        <w:jc w:val="left"/>
        <w:rPr>
          <w:rFonts w:hint="eastAsia" w:ascii="仿宋" w:hAnsi="仿宋" w:eastAsia="仿宋" w:cs="仿宋"/>
          <w:b w:val="0"/>
          <w:bCs/>
          <w:color w:val="auto"/>
          <w:kern w:val="0"/>
          <w:sz w:val="32"/>
          <w:szCs w:val="32"/>
          <w:lang w:eastAsia="zh-CN"/>
        </w:rPr>
      </w:pPr>
      <w:r>
        <w:rPr>
          <w:rFonts w:hint="eastAsia" w:ascii="仿宋" w:hAnsi="仿宋" w:eastAsia="仿宋" w:cs="仿宋"/>
          <w:b w:val="0"/>
          <w:bCs/>
          <w:color w:val="auto"/>
          <w:kern w:val="0"/>
          <w:sz w:val="32"/>
          <w:szCs w:val="32"/>
          <w:lang w:val="en-US" w:eastAsia="zh-CN"/>
        </w:rPr>
        <w:t>（2）</w:t>
      </w:r>
      <w:r>
        <w:rPr>
          <w:rFonts w:hint="eastAsia" w:ascii="仿宋" w:hAnsi="仿宋" w:eastAsia="仿宋" w:cs="仿宋"/>
          <w:b w:val="0"/>
          <w:bCs/>
          <w:color w:val="auto"/>
          <w:kern w:val="0"/>
          <w:sz w:val="32"/>
          <w:szCs w:val="32"/>
          <w:lang w:eastAsia="zh-CN"/>
        </w:rPr>
        <w:t>项目实施的可持续影响分析。预计该项目社会大局持续稳定＞</w:t>
      </w:r>
      <w:r>
        <w:rPr>
          <w:rFonts w:hint="eastAsia" w:ascii="仿宋" w:hAnsi="仿宋" w:eastAsia="仿宋" w:cs="仿宋"/>
          <w:b w:val="0"/>
          <w:bCs/>
          <w:color w:val="auto"/>
          <w:kern w:val="0"/>
          <w:sz w:val="32"/>
          <w:szCs w:val="32"/>
          <w:lang w:val="en-US" w:eastAsia="zh-CN"/>
        </w:rPr>
        <w:t>90</w:t>
      </w:r>
      <w:r>
        <w:rPr>
          <w:rFonts w:hint="eastAsia" w:ascii="仿宋" w:hAnsi="仿宋" w:eastAsia="仿宋" w:cs="仿宋"/>
          <w:b w:val="0"/>
          <w:bCs/>
          <w:color w:val="auto"/>
          <w:kern w:val="0"/>
          <w:sz w:val="32"/>
          <w:szCs w:val="32"/>
          <w:lang w:eastAsia="zh-CN"/>
        </w:rPr>
        <w:t>%，已完成该项目指标，完成率</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rPr>
          <w:rStyle w:val="19"/>
          <w:rFonts w:hint="eastAsia" w:ascii="方正仿宋_GBK" w:hAnsi="方正仿宋_GBK" w:eastAsia="方正仿宋_GBK" w:cs="方正仿宋_GBK"/>
          <w:b/>
          <w:bCs/>
          <w:sz w:val="32"/>
          <w:szCs w:val="32"/>
        </w:rPr>
      </w:pPr>
      <w:r>
        <w:rPr>
          <w:rStyle w:val="19"/>
          <w:rFonts w:hint="eastAsia" w:ascii="方正仿宋_GBK" w:hAnsi="方正仿宋_GBK" w:eastAsia="方正仿宋_GBK" w:cs="方正仿宋_GBK"/>
          <w:b/>
          <w:bCs/>
          <w:sz w:val="32"/>
          <w:szCs w:val="32"/>
        </w:rPr>
        <w:t>3</w:t>
      </w:r>
      <w:r>
        <w:rPr>
          <w:rStyle w:val="19"/>
          <w:rFonts w:hint="eastAsia" w:ascii="方正仿宋_GBK" w:hAnsi="方正仿宋_GBK" w:eastAsia="方正仿宋_GBK" w:cs="方正仿宋_GBK"/>
          <w:b/>
          <w:bCs/>
          <w:sz w:val="32"/>
          <w:szCs w:val="32"/>
          <w:lang w:eastAsia="zh-CN"/>
        </w:rPr>
        <w:t>、</w:t>
      </w:r>
      <w:r>
        <w:rPr>
          <w:rStyle w:val="19"/>
          <w:rFonts w:hint="eastAsia" w:ascii="方正仿宋_GBK" w:hAnsi="方正仿宋_GBK" w:eastAsia="方正仿宋_GBK" w:cs="方正仿宋_GBK"/>
          <w:b/>
          <w:bCs/>
          <w:sz w:val="32"/>
          <w:szCs w:val="32"/>
        </w:rPr>
        <w:t>满意度指标完成情况分析</w:t>
      </w:r>
    </w:p>
    <w:p>
      <w:pPr>
        <w:spacing w:line="600" w:lineRule="exact"/>
        <w:ind w:firstLine="627" w:firstLineChars="196"/>
        <w:jc w:val="left"/>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eastAsia="zh-CN"/>
        </w:rPr>
        <w:t>该项目指标全部完成，预计群众满意度＞95%，实际群众满意度</w:t>
      </w:r>
      <w:r>
        <w:rPr>
          <w:rFonts w:hint="eastAsia" w:ascii="仿宋" w:hAnsi="仿宋" w:eastAsia="仿宋" w:cs="仿宋"/>
          <w:b w:val="0"/>
          <w:bCs/>
          <w:color w:val="auto"/>
          <w:kern w:val="0"/>
          <w:sz w:val="32"/>
          <w:szCs w:val="32"/>
          <w:lang w:val="en-US" w:eastAsia="zh-CN"/>
        </w:rPr>
        <w:t>100</w:t>
      </w:r>
      <w:r>
        <w:rPr>
          <w:rFonts w:hint="eastAsia" w:ascii="仿宋" w:hAnsi="仿宋" w:eastAsia="仿宋" w:cs="仿宋"/>
          <w:b w:val="0"/>
          <w:bCs/>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eastAsia="zh-CN"/>
        </w:rPr>
      </w:pPr>
      <w:r>
        <w:rPr>
          <w:rFonts w:hint="eastAsia" w:ascii="方正仿宋_GBK" w:hAnsi="方正仿宋_GBK" w:eastAsia="方正仿宋_GBK" w:cs="方正仿宋_GBK"/>
          <w:b/>
          <w:bCs/>
          <w:sz w:val="32"/>
          <w:szCs w:val="32"/>
          <w:highlight w:val="none"/>
          <w:lang w:eastAsia="zh-CN"/>
        </w:rPr>
        <w:t>（二）项目绩效目标未完成原因分析。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该项目已完成所有设定的绩效目标任务，完成率</w:t>
      </w:r>
      <w:r>
        <w:rPr>
          <w:rFonts w:hint="eastAsia" w:ascii="仿宋" w:hAnsi="仿宋" w:eastAsia="仿宋" w:cs="仿宋"/>
          <w:sz w:val="32"/>
          <w:szCs w:val="32"/>
          <w:highlight w:val="none"/>
          <w:lang w:val="en-US" w:eastAsia="zh-CN"/>
        </w:rPr>
        <w:t>100%，不存在未完成目标值情况。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方正仿宋_GBK" w:hAnsi="方正仿宋_GBK" w:eastAsia="方正仿宋_GBK" w:cs="方正仿宋_GBK"/>
          <w:b/>
          <w:bCs/>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（三）预算执行进度与绩效指标偏差分析。</w:t>
      </w:r>
    </w:p>
    <w:p>
      <w:pPr>
        <w:keepNext w:val="0"/>
        <w:keepLines w:val="0"/>
        <w:pageBreakBefore w:val="0"/>
        <w:widowControl w:val="0"/>
        <w:numPr>
          <w:ilvl w:val="0"/>
          <w:numId w:val="0"/>
        </w:numPr>
        <w:kinsoku/>
        <w:wordWrap/>
        <w:overflowPunct/>
        <w:topLinePunct w:val="0"/>
        <w:autoSpaceDE/>
        <w:autoSpaceDN/>
        <w:bidi w:val="0"/>
        <w:adjustRightInd w:val="0"/>
        <w:spacing w:line="600" w:lineRule="exact"/>
        <w:ind w:right="0" w:rightChars="0" w:firstLine="640" w:firstLineChars="200"/>
        <w:textAlignment w:val="auto"/>
        <w:rPr>
          <w:rFonts w:hint="eastAsia"/>
          <w:lang w:val="en-US" w:eastAsia="zh-CN"/>
        </w:rPr>
      </w:pPr>
      <w:r>
        <w:rPr>
          <w:rFonts w:hint="eastAsia" w:ascii="仿宋" w:hAnsi="仿宋" w:eastAsia="仿宋" w:cs="仿宋"/>
          <w:b w:val="0"/>
          <w:bCs w:val="0"/>
          <w:kern w:val="2"/>
          <w:sz w:val="32"/>
          <w:szCs w:val="32"/>
          <w:highlight w:val="none"/>
          <w:lang w:val="en-US" w:eastAsia="zh-CN" w:bidi="ar-SA"/>
        </w:rPr>
        <w:t>该项目预算执行进度与绩效指标总体完成率无偏差。</w:t>
      </w:r>
    </w:p>
    <w:p>
      <w:pPr>
        <w:spacing w:line="540" w:lineRule="exact"/>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hint="eastAsia" w:ascii="仿宋" w:hAnsi="仿宋" w:eastAsia="仿宋" w:cs="仿宋"/>
          <w:b w:val="0"/>
          <w:bCs/>
          <w:spacing w:val="-4"/>
          <w:sz w:val="32"/>
          <w:szCs w:val="32"/>
        </w:rPr>
      </w:pPr>
      <w:r>
        <w:rPr>
          <w:rStyle w:val="19"/>
          <w:rFonts w:hint="eastAsia" w:ascii="仿宋" w:hAnsi="仿宋" w:eastAsia="仿宋" w:cs="仿宋"/>
          <w:b w:val="0"/>
          <w:spacing w:val="-4"/>
          <w:sz w:val="32"/>
          <w:szCs w:val="32"/>
        </w:rPr>
        <w:t>学习更新相关规定，根据内部管理的需要，明确工作岗位职责和权限</w:t>
      </w:r>
      <w:r>
        <w:rPr>
          <w:rStyle w:val="19"/>
          <w:rFonts w:hint="eastAsia" w:ascii="仿宋" w:hAnsi="仿宋" w:eastAsia="仿宋" w:cs="仿宋"/>
          <w:b w:val="0"/>
          <w:spacing w:val="-4"/>
          <w:sz w:val="32"/>
          <w:szCs w:val="32"/>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1、</w:t>
      </w:r>
      <w:r>
        <w:rPr>
          <w:rStyle w:val="19"/>
          <w:rFonts w:hint="eastAsia" w:ascii="仿宋" w:hAnsi="仿宋" w:eastAsia="仿宋"/>
          <w:b w:val="0"/>
          <w:spacing w:val="-4"/>
          <w:sz w:val="32"/>
          <w:szCs w:val="32"/>
        </w:rPr>
        <w:t>经验及做法：对专项资金，我局严格按照财务管理制度、专项资金管理办法以及本部门厉行节约制度执行，各项专项资金，做到了财政、上级、本部门的三方共同管理、监督，专款专用极大有效的预防和惩治毒品违法犯罪行为，保护了公民身心健康，抑制了犯罪数，维护社会稳定和经济发展。</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存在的问题</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项目工作实施后，</w:t>
      </w:r>
      <w:r>
        <w:rPr>
          <w:rStyle w:val="19"/>
          <w:rFonts w:hint="eastAsia" w:ascii="仿宋" w:hAnsi="仿宋" w:eastAsia="仿宋"/>
          <w:b w:val="0"/>
          <w:spacing w:val="-4"/>
          <w:sz w:val="32"/>
          <w:szCs w:val="32"/>
          <w:lang w:eastAsia="zh-CN"/>
        </w:rPr>
        <w:t>大多用于线索查询、宣传资料无偿发放及差旅方面，支出不平衡，影响</w:t>
      </w:r>
      <w:r>
        <w:rPr>
          <w:rStyle w:val="19"/>
          <w:rFonts w:hint="eastAsia" w:ascii="仿宋" w:hAnsi="仿宋" w:eastAsia="仿宋"/>
          <w:b w:val="0"/>
          <w:spacing w:val="-4"/>
          <w:sz w:val="32"/>
          <w:szCs w:val="32"/>
        </w:rPr>
        <w:t>预定的绩效目标。</w:t>
      </w:r>
    </w:p>
    <w:p>
      <w:pPr>
        <w:keepNext w:val="0"/>
        <w:keepLines w:val="0"/>
        <w:pageBreakBefore w:val="0"/>
        <w:widowControl w:val="0"/>
        <w:numPr>
          <w:ilvl w:val="0"/>
          <w:numId w:val="2"/>
        </w:numPr>
        <w:kinsoku/>
        <w:wordWrap/>
        <w:overflowPunct/>
        <w:topLinePunct w:val="0"/>
        <w:autoSpaceDE/>
        <w:autoSpaceDN/>
        <w:bidi w:val="0"/>
        <w:adjustRightInd w:val="0"/>
        <w:snapToGrid w:val="0"/>
        <w:spacing w:line="540" w:lineRule="exact"/>
        <w:ind w:firstLine="624" w:firstLineChars="200"/>
        <w:textAlignment w:val="auto"/>
        <w:outlineLvl w:val="9"/>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建议</w:t>
      </w:r>
    </w:p>
    <w:p>
      <w:pPr>
        <w:keepNext w:val="0"/>
        <w:keepLines w:val="0"/>
        <w:pageBreakBefore w:val="0"/>
        <w:widowControl w:val="0"/>
        <w:numPr>
          <w:ilvl w:val="0"/>
          <w:numId w:val="3"/>
        </w:numPr>
        <w:kinsoku/>
        <w:wordWrap/>
        <w:overflowPunct/>
        <w:topLinePunct w:val="0"/>
        <w:autoSpaceDE/>
        <w:autoSpaceDN/>
        <w:bidi w:val="0"/>
        <w:adjustRightInd w:val="0"/>
        <w:snapToGrid w:val="0"/>
        <w:spacing w:line="540" w:lineRule="exact"/>
        <w:ind w:firstLine="936" w:firstLineChars="300"/>
        <w:textAlignment w:val="auto"/>
        <w:outlineLvl w:val="9"/>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加强禁毒队伍的建设，充分发挥禁毒成员单位的职能作用，加强禁毒队伍的管理和业务培训，增强禁毒能力，形成部门联动态势。</w:t>
      </w:r>
    </w:p>
    <w:p>
      <w:pPr>
        <w:keepNext w:val="0"/>
        <w:keepLines w:val="0"/>
        <w:pageBreakBefore w:val="0"/>
        <w:widowControl w:val="0"/>
        <w:numPr>
          <w:ilvl w:val="0"/>
          <w:numId w:val="3"/>
        </w:numPr>
        <w:kinsoku/>
        <w:wordWrap/>
        <w:overflowPunct/>
        <w:topLinePunct w:val="0"/>
        <w:autoSpaceDE/>
        <w:autoSpaceDN/>
        <w:bidi w:val="0"/>
        <w:adjustRightInd w:val="0"/>
        <w:snapToGrid w:val="0"/>
        <w:spacing w:line="540" w:lineRule="exact"/>
        <w:ind w:firstLine="936" w:firstLineChars="300"/>
        <w:textAlignment w:val="auto"/>
        <w:outlineLvl w:val="9"/>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坚强社区禁毒、社区康复组织机构的指导，完善涉毒人员档案的建立和管理工作。对戒赌人员进行跟踪管理，充分发挥基层群众、家庭、亲友的帮教工作。</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我局严格按照上级部门下达的资金使用方式使用资金，</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切实做到每笔资金都由我局领导逐级审批，确保资金落到实处，使资金使用效益达到最大化，切实保障办案部门正常运转。</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项目资金管理过程规范，程序到位，完成了预期绩效目标，群众满意，社会反响好。取得了巨大的社会效益</w:t>
      </w:r>
      <w:r>
        <w:rPr>
          <w:rStyle w:val="19"/>
          <w:rFonts w:hint="eastAsia" w:ascii="仿宋" w:hAnsi="仿宋" w:eastAsia="仿宋"/>
          <w:b w:val="0"/>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rPr>
          <w:rStyle w:val="19"/>
          <w:rFonts w:hint="eastAsia" w:ascii="仿宋" w:hAnsi="仿宋" w:eastAsia="仿宋"/>
          <w:b w:val="0"/>
          <w:spacing w:val="-4"/>
          <w:sz w:val="32"/>
          <w:szCs w:val="32"/>
          <w:lang w:val="en-US" w:eastAsia="zh-CN"/>
        </w:rPr>
      </w:pPr>
    </w:p>
    <w:tbl>
      <w:tblPr>
        <w:tblStyle w:val="17"/>
        <w:tblW w:w="8764" w:type="dxa"/>
        <w:tblInd w:w="0" w:type="dxa"/>
        <w:tblLayout w:type="fixed"/>
        <w:tblCellMar>
          <w:top w:w="0" w:type="dxa"/>
          <w:left w:w="108" w:type="dxa"/>
          <w:bottom w:w="0" w:type="dxa"/>
          <w:right w:w="108" w:type="dxa"/>
        </w:tblCellMar>
      </w:tblPr>
      <w:tblGrid>
        <w:gridCol w:w="696"/>
        <w:gridCol w:w="1206"/>
        <w:gridCol w:w="1302"/>
        <w:gridCol w:w="324"/>
        <w:gridCol w:w="251"/>
        <w:gridCol w:w="1637"/>
        <w:gridCol w:w="1532"/>
        <w:gridCol w:w="1816"/>
      </w:tblGrid>
      <w:tr>
        <w:tblPrEx>
          <w:tblLayout w:type="fixed"/>
          <w:tblCellMar>
            <w:top w:w="0" w:type="dxa"/>
            <w:left w:w="108" w:type="dxa"/>
            <w:bottom w:w="0" w:type="dxa"/>
            <w:right w:w="108" w:type="dxa"/>
          </w:tblCellMar>
        </w:tblPrEx>
        <w:trPr>
          <w:trHeight w:val="285" w:hRule="atLeast"/>
        </w:trPr>
        <w:tc>
          <w:tcPr>
            <w:tcW w:w="8764" w:type="dxa"/>
            <w:gridSpan w:val="8"/>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8764" w:type="dxa"/>
            <w:gridSpan w:val="8"/>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rFonts w:ascii="宋体" w:hAnsi="宋体" w:cs="宋体"/>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696" w:type="dxa"/>
            <w:tcBorders>
              <w:top w:val="nil"/>
              <w:left w:val="nil"/>
              <w:bottom w:val="nil"/>
              <w:right w:val="nil"/>
            </w:tcBorders>
            <w:vAlign w:val="center"/>
          </w:tcPr>
          <w:p>
            <w:pPr>
              <w:widowControl/>
              <w:jc w:val="left"/>
              <w:rPr>
                <w:rFonts w:ascii="宋体" w:cs="宋体"/>
                <w:kern w:val="0"/>
                <w:sz w:val="24"/>
              </w:rPr>
            </w:pPr>
          </w:p>
        </w:tc>
        <w:tc>
          <w:tcPr>
            <w:tcW w:w="1206" w:type="dxa"/>
            <w:tcBorders>
              <w:top w:val="nil"/>
              <w:left w:val="nil"/>
              <w:bottom w:val="nil"/>
              <w:right w:val="nil"/>
            </w:tcBorders>
            <w:vAlign w:val="center"/>
          </w:tcPr>
          <w:p>
            <w:pPr>
              <w:widowControl/>
              <w:jc w:val="left"/>
              <w:rPr>
                <w:rFonts w:ascii="宋体" w:cs="宋体"/>
                <w:kern w:val="0"/>
                <w:sz w:val="24"/>
              </w:rPr>
            </w:pPr>
          </w:p>
        </w:tc>
        <w:tc>
          <w:tcPr>
            <w:tcW w:w="1626" w:type="dxa"/>
            <w:gridSpan w:val="2"/>
            <w:tcBorders>
              <w:top w:val="nil"/>
              <w:left w:val="nil"/>
              <w:bottom w:val="nil"/>
              <w:right w:val="nil"/>
            </w:tcBorders>
            <w:vAlign w:val="center"/>
          </w:tcPr>
          <w:p>
            <w:pPr>
              <w:widowControl/>
              <w:jc w:val="left"/>
              <w:rPr>
                <w:rFonts w:ascii="宋体" w:cs="宋体"/>
                <w:kern w:val="0"/>
                <w:sz w:val="24"/>
              </w:rPr>
            </w:pPr>
          </w:p>
        </w:tc>
        <w:tc>
          <w:tcPr>
            <w:tcW w:w="251" w:type="dxa"/>
            <w:tcBorders>
              <w:top w:val="nil"/>
              <w:left w:val="nil"/>
              <w:bottom w:val="nil"/>
              <w:right w:val="nil"/>
            </w:tcBorders>
            <w:vAlign w:val="center"/>
          </w:tcPr>
          <w:p>
            <w:pPr>
              <w:widowControl/>
              <w:jc w:val="left"/>
              <w:rPr>
                <w:rFonts w:ascii="宋体" w:cs="宋体"/>
                <w:kern w:val="0"/>
                <w:sz w:val="24"/>
              </w:rPr>
            </w:pPr>
          </w:p>
        </w:tc>
        <w:tc>
          <w:tcPr>
            <w:tcW w:w="1637" w:type="dxa"/>
            <w:tcBorders>
              <w:top w:val="nil"/>
              <w:left w:val="nil"/>
              <w:bottom w:val="nil"/>
              <w:right w:val="nil"/>
            </w:tcBorders>
            <w:vAlign w:val="center"/>
          </w:tcPr>
          <w:p>
            <w:pPr>
              <w:widowControl/>
              <w:jc w:val="left"/>
              <w:rPr>
                <w:rFonts w:ascii="宋体" w:cs="宋体"/>
                <w:kern w:val="0"/>
                <w:sz w:val="24"/>
              </w:rPr>
            </w:pPr>
          </w:p>
        </w:tc>
        <w:tc>
          <w:tcPr>
            <w:tcW w:w="1532" w:type="dxa"/>
            <w:tcBorders>
              <w:top w:val="nil"/>
              <w:left w:val="nil"/>
              <w:bottom w:val="nil"/>
              <w:right w:val="nil"/>
            </w:tcBorders>
            <w:vAlign w:val="center"/>
          </w:tcPr>
          <w:p>
            <w:pPr>
              <w:widowControl/>
              <w:jc w:val="left"/>
              <w:rPr>
                <w:rFonts w:ascii="宋体" w:cs="宋体"/>
                <w:kern w:val="0"/>
                <w:sz w:val="24"/>
              </w:rPr>
            </w:pPr>
          </w:p>
        </w:tc>
        <w:tc>
          <w:tcPr>
            <w:tcW w:w="1816" w:type="dxa"/>
            <w:tcBorders>
              <w:top w:val="nil"/>
              <w:left w:val="nil"/>
              <w:bottom w:val="nil"/>
              <w:right w:val="nil"/>
            </w:tcBorders>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435" w:hRule="atLeast"/>
        </w:trPr>
        <w:tc>
          <w:tcPr>
            <w:tcW w:w="3528"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项目名称</w:t>
            </w:r>
          </w:p>
        </w:tc>
        <w:tc>
          <w:tcPr>
            <w:tcW w:w="5236" w:type="dxa"/>
            <w:gridSpan w:val="4"/>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禁毒经费</w:t>
            </w:r>
          </w:p>
        </w:tc>
      </w:tr>
      <w:tr>
        <w:tblPrEx>
          <w:tblLayout w:type="fixed"/>
          <w:tblCellMar>
            <w:top w:w="0" w:type="dxa"/>
            <w:left w:w="108" w:type="dxa"/>
            <w:bottom w:w="0" w:type="dxa"/>
            <w:right w:w="108" w:type="dxa"/>
          </w:tblCellMar>
        </w:tblPrEx>
        <w:trPr>
          <w:trHeight w:val="435" w:hRule="atLeast"/>
        </w:trPr>
        <w:tc>
          <w:tcPr>
            <w:tcW w:w="3528"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预算单位</w:t>
            </w:r>
          </w:p>
        </w:tc>
        <w:tc>
          <w:tcPr>
            <w:tcW w:w="5236" w:type="dxa"/>
            <w:gridSpan w:val="4"/>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玛纳斯县公安局</w:t>
            </w:r>
          </w:p>
        </w:tc>
      </w:tr>
      <w:tr>
        <w:tblPrEx>
          <w:tblLayout w:type="fixed"/>
          <w:tblCellMar>
            <w:top w:w="0" w:type="dxa"/>
            <w:left w:w="108" w:type="dxa"/>
            <w:bottom w:w="0" w:type="dxa"/>
            <w:right w:w="108" w:type="dxa"/>
          </w:tblCellMar>
        </w:tblPrEx>
        <w:trPr>
          <w:trHeight w:val="585" w:hRule="atLeast"/>
        </w:trPr>
        <w:tc>
          <w:tcPr>
            <w:tcW w:w="69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预算执行情况（万元）</w:t>
            </w:r>
          </w:p>
        </w:tc>
        <w:tc>
          <w:tcPr>
            <w:tcW w:w="2832" w:type="dxa"/>
            <w:gridSpan w:val="3"/>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预算数：</w:t>
            </w:r>
          </w:p>
        </w:tc>
        <w:tc>
          <w:tcPr>
            <w:tcW w:w="1888" w:type="dxa"/>
            <w:gridSpan w:val="2"/>
            <w:tcBorders>
              <w:top w:val="single" w:color="auto" w:sz="4" w:space="0"/>
              <w:left w:val="nil"/>
              <w:bottom w:val="single" w:color="auto" w:sz="4" w:space="0"/>
              <w:right w:val="single" w:color="000000" w:sz="4" w:space="0"/>
            </w:tcBorders>
            <w:vAlign w:val="center"/>
          </w:tcPr>
          <w:p>
            <w:pPr>
              <w:widowControl/>
              <w:jc w:val="center"/>
              <w:rPr>
                <w:rFonts w:hint="default" w:ascii="宋体" w:eastAsia="宋体" w:cs="宋体"/>
                <w:kern w:val="0"/>
                <w:sz w:val="24"/>
                <w:lang w:val="en-US" w:eastAsia="zh-CN"/>
              </w:rPr>
            </w:pPr>
            <w:r>
              <w:rPr>
                <w:rFonts w:hint="eastAsia" w:ascii="宋体" w:cs="宋体"/>
                <w:kern w:val="0"/>
                <w:sz w:val="24"/>
                <w:lang w:val="en-US" w:eastAsia="zh-CN"/>
              </w:rPr>
              <w:t>29.3</w:t>
            </w:r>
          </w:p>
        </w:tc>
        <w:tc>
          <w:tcPr>
            <w:tcW w:w="153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执行数：</w:t>
            </w:r>
          </w:p>
        </w:tc>
        <w:tc>
          <w:tcPr>
            <w:tcW w:w="181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r>
              <w:rPr>
                <w:rFonts w:ascii="宋体" w:hAnsi="宋体" w:cs="宋体"/>
                <w:kern w:val="0"/>
                <w:sz w:val="24"/>
              </w:rPr>
              <w:t>29.3</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832" w:type="dxa"/>
            <w:gridSpan w:val="3"/>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其中：财政拨款</w:t>
            </w:r>
          </w:p>
        </w:tc>
        <w:tc>
          <w:tcPr>
            <w:tcW w:w="1888" w:type="dxa"/>
            <w:gridSpan w:val="2"/>
            <w:tcBorders>
              <w:top w:val="single" w:color="auto" w:sz="4" w:space="0"/>
              <w:left w:val="nil"/>
              <w:bottom w:val="single" w:color="auto" w:sz="4" w:space="0"/>
              <w:right w:val="single" w:color="000000" w:sz="4" w:space="0"/>
            </w:tcBorders>
            <w:vAlign w:val="center"/>
          </w:tcPr>
          <w:p>
            <w:pPr>
              <w:widowControl/>
              <w:jc w:val="center"/>
              <w:rPr>
                <w:rFonts w:hint="default" w:ascii="宋体" w:eastAsia="宋体" w:cs="宋体"/>
                <w:kern w:val="0"/>
                <w:sz w:val="24"/>
                <w:lang w:val="en-US" w:eastAsia="zh-CN"/>
              </w:rPr>
            </w:pPr>
            <w:r>
              <w:rPr>
                <w:rFonts w:hint="eastAsia" w:ascii="宋体" w:cs="宋体"/>
                <w:kern w:val="0"/>
                <w:sz w:val="24"/>
                <w:lang w:val="en-US" w:eastAsia="zh-CN"/>
              </w:rPr>
              <w:t>29.3</w:t>
            </w:r>
          </w:p>
        </w:tc>
        <w:tc>
          <w:tcPr>
            <w:tcW w:w="153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其中：财政拨款</w:t>
            </w:r>
          </w:p>
        </w:tc>
        <w:tc>
          <w:tcPr>
            <w:tcW w:w="181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r>
              <w:rPr>
                <w:rFonts w:ascii="宋体" w:hAnsi="宋体" w:cs="宋体"/>
                <w:kern w:val="0"/>
                <w:sz w:val="24"/>
              </w:rPr>
              <w:t>29.3</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832" w:type="dxa"/>
            <w:gridSpan w:val="3"/>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其他资金</w:t>
            </w:r>
          </w:p>
        </w:tc>
        <w:tc>
          <w:tcPr>
            <w:tcW w:w="1888"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ascii="宋体" w:cs="宋体"/>
                <w:kern w:val="0"/>
                <w:sz w:val="24"/>
              </w:rPr>
              <w:t>0</w:t>
            </w:r>
          </w:p>
        </w:tc>
        <w:tc>
          <w:tcPr>
            <w:tcW w:w="153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其他资金</w:t>
            </w:r>
          </w:p>
        </w:tc>
        <w:tc>
          <w:tcPr>
            <w:tcW w:w="1816" w:type="dxa"/>
            <w:tcBorders>
              <w:top w:val="nil"/>
              <w:left w:val="nil"/>
              <w:bottom w:val="single" w:color="auto" w:sz="4" w:space="0"/>
              <w:right w:val="single" w:color="auto" w:sz="4" w:space="0"/>
            </w:tcBorders>
            <w:vAlign w:val="center"/>
          </w:tcPr>
          <w:p>
            <w:pPr>
              <w:widowControl/>
              <w:ind w:right="480" w:firstLine="240" w:firstLineChars="100"/>
              <w:rPr>
                <w:rFonts w:ascii="宋体" w:cs="宋体"/>
                <w:kern w:val="0"/>
                <w:sz w:val="24"/>
              </w:rPr>
            </w:pPr>
            <w:r>
              <w:rPr>
                <w:rFonts w:ascii="宋体" w:cs="宋体"/>
                <w:kern w:val="0"/>
                <w:sz w:val="24"/>
              </w:rPr>
              <w:t>0</w:t>
            </w:r>
          </w:p>
        </w:tc>
      </w:tr>
      <w:tr>
        <w:tblPrEx>
          <w:tblLayout w:type="fixed"/>
          <w:tblCellMar>
            <w:top w:w="0" w:type="dxa"/>
            <w:left w:w="108" w:type="dxa"/>
            <w:bottom w:w="0" w:type="dxa"/>
            <w:right w:w="108" w:type="dxa"/>
          </w:tblCellMar>
        </w:tblPrEx>
        <w:trPr>
          <w:trHeight w:val="585" w:hRule="atLeast"/>
        </w:trPr>
        <w:tc>
          <w:tcPr>
            <w:tcW w:w="69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年度目标完成情况</w:t>
            </w:r>
          </w:p>
        </w:tc>
        <w:tc>
          <w:tcPr>
            <w:tcW w:w="4720" w:type="dxa"/>
            <w:gridSpan w:val="5"/>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预期目标</w:t>
            </w:r>
          </w:p>
        </w:tc>
        <w:tc>
          <w:tcPr>
            <w:tcW w:w="3348"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实际完成目标</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720" w:type="dxa"/>
            <w:gridSpan w:val="5"/>
            <w:vMerge w:val="restart"/>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加大了宣传力度，有效的预防和惩治毒品违法犯罪行为，保护了公民身心健康，抑制了犯罪数，维护社会稳定和经济发展。</w:t>
            </w:r>
          </w:p>
        </w:tc>
        <w:tc>
          <w:tcPr>
            <w:tcW w:w="3348"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eastAsia="zh-CN"/>
              </w:rPr>
              <w:t>资金已拨付，</w:t>
            </w:r>
            <w:r>
              <w:rPr>
                <w:rFonts w:hint="eastAsia" w:ascii="宋体" w:hAnsi="宋体" w:cs="宋体"/>
                <w:kern w:val="0"/>
                <w:sz w:val="24"/>
              </w:rPr>
              <w:t>有效的预防和惩治毒品违法犯罪行为，</w:t>
            </w:r>
            <w:r>
              <w:rPr>
                <w:rFonts w:hint="eastAsia" w:ascii="宋体" w:hAnsi="宋体" w:cs="宋体"/>
                <w:kern w:val="0"/>
                <w:sz w:val="24"/>
                <w:lang w:eastAsia="zh-CN"/>
              </w:rPr>
              <w:t>毒品犯罪案件明显减少。</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720" w:type="dxa"/>
            <w:gridSpan w:val="5"/>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c>
          <w:tcPr>
            <w:tcW w:w="3348"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4720" w:type="dxa"/>
            <w:gridSpan w:val="5"/>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c>
          <w:tcPr>
            <w:tcW w:w="3348"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870" w:hRule="atLeast"/>
        </w:trPr>
        <w:tc>
          <w:tcPr>
            <w:tcW w:w="696" w:type="dxa"/>
            <w:vMerge w:val="restart"/>
            <w:tcBorders>
              <w:top w:val="nil"/>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年度绩效指标完成情况</w:t>
            </w:r>
          </w:p>
        </w:tc>
        <w:tc>
          <w:tcPr>
            <w:tcW w:w="120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一级指标</w:t>
            </w:r>
          </w:p>
        </w:tc>
        <w:tc>
          <w:tcPr>
            <w:tcW w:w="130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二级指标</w:t>
            </w:r>
          </w:p>
        </w:tc>
        <w:tc>
          <w:tcPr>
            <w:tcW w:w="2212"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4"/>
              </w:rPr>
            </w:pPr>
            <w:r>
              <w:rPr>
                <w:rFonts w:hint="eastAsia" w:ascii="宋体" w:hAnsi="宋体" w:cs="宋体"/>
                <w:kern w:val="0"/>
                <w:sz w:val="24"/>
              </w:rPr>
              <w:t>三级指标</w:t>
            </w:r>
          </w:p>
        </w:tc>
        <w:tc>
          <w:tcPr>
            <w:tcW w:w="153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预期指标值（包含数字及文字描述）</w:t>
            </w:r>
          </w:p>
        </w:tc>
        <w:tc>
          <w:tcPr>
            <w:tcW w:w="181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实际完成指标值（包含数字及文字描述）</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06" w:type="dxa"/>
            <w:vMerge w:val="restart"/>
            <w:tcBorders>
              <w:top w:val="nil"/>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项目完成指标</w:t>
            </w:r>
          </w:p>
        </w:tc>
        <w:tc>
          <w:tcPr>
            <w:tcW w:w="1302"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数量指标</w:t>
            </w:r>
          </w:p>
        </w:tc>
        <w:tc>
          <w:tcPr>
            <w:tcW w:w="2212" w:type="dxa"/>
            <w:gridSpan w:val="3"/>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cs="宋体"/>
                <w:kern w:val="0"/>
                <w:sz w:val="24"/>
                <w:lang w:eastAsia="zh-CN"/>
              </w:rPr>
              <w:t>抓获犯罪嫌疑人</w:t>
            </w:r>
          </w:p>
        </w:tc>
        <w:tc>
          <w:tcPr>
            <w:tcW w:w="1532" w:type="dxa"/>
            <w:tcBorders>
              <w:top w:val="nil"/>
              <w:left w:val="nil"/>
              <w:bottom w:val="single" w:color="auto" w:sz="4" w:space="0"/>
              <w:right w:val="single" w:color="auto" w:sz="4" w:space="0"/>
            </w:tcBorders>
            <w:vAlign w:val="center"/>
          </w:tcPr>
          <w:p>
            <w:pPr>
              <w:widowControl/>
              <w:jc w:val="center"/>
              <w:rPr>
                <w:rFonts w:hint="default" w:ascii="宋体" w:eastAsia="宋体" w:cs="宋体"/>
                <w:kern w:val="0"/>
                <w:sz w:val="24"/>
                <w:lang w:val="en-US" w:eastAsia="zh-CN"/>
              </w:rPr>
            </w:pPr>
            <w:r>
              <w:rPr>
                <w:rFonts w:hint="eastAsia" w:ascii="宋体" w:cs="宋体"/>
                <w:kern w:val="0"/>
                <w:sz w:val="24"/>
                <w:lang w:val="en-US" w:eastAsia="zh-CN"/>
              </w:rPr>
              <w:t>20人</w:t>
            </w:r>
          </w:p>
        </w:tc>
        <w:tc>
          <w:tcPr>
            <w:tcW w:w="1816" w:type="dxa"/>
            <w:tcBorders>
              <w:top w:val="nil"/>
              <w:left w:val="nil"/>
              <w:bottom w:val="single" w:color="auto" w:sz="4" w:space="0"/>
              <w:right w:val="single" w:color="auto" w:sz="4" w:space="0"/>
            </w:tcBorders>
            <w:vAlign w:val="center"/>
          </w:tcPr>
          <w:p>
            <w:pPr>
              <w:widowControl/>
              <w:jc w:val="center"/>
              <w:rPr>
                <w:rFonts w:hint="default" w:ascii="宋体" w:eastAsia="宋体" w:cs="宋体"/>
                <w:kern w:val="0"/>
                <w:sz w:val="24"/>
                <w:lang w:val="en-US" w:eastAsia="zh-CN"/>
              </w:rPr>
            </w:pPr>
            <w:r>
              <w:rPr>
                <w:rFonts w:hint="eastAsia" w:ascii="宋体" w:cs="宋体"/>
                <w:kern w:val="0"/>
                <w:sz w:val="24"/>
                <w:lang w:val="en-US" w:eastAsia="zh-CN"/>
              </w:rPr>
              <w:t>20人</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0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212" w:type="dxa"/>
            <w:gridSpan w:val="3"/>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eastAsia="zh-CN"/>
              </w:rPr>
              <w:t>破获</w:t>
            </w:r>
            <w:r>
              <w:rPr>
                <w:rFonts w:hint="eastAsia" w:ascii="宋体" w:cs="宋体"/>
                <w:kern w:val="0"/>
                <w:sz w:val="24"/>
                <w:lang w:eastAsia="zh-CN"/>
              </w:rPr>
              <w:t>刑事案件</w:t>
            </w:r>
            <w:r>
              <w:rPr>
                <w:rFonts w:hint="eastAsia" w:ascii="宋体" w:cs="宋体"/>
                <w:kern w:val="0"/>
                <w:sz w:val="24"/>
                <w:lang w:val="en-US" w:eastAsia="zh-CN"/>
              </w:rPr>
              <w:t>起</w:t>
            </w:r>
          </w:p>
        </w:tc>
        <w:tc>
          <w:tcPr>
            <w:tcW w:w="1532" w:type="dxa"/>
            <w:tcBorders>
              <w:top w:val="nil"/>
              <w:left w:val="nil"/>
              <w:bottom w:val="single" w:color="auto" w:sz="4" w:space="0"/>
              <w:right w:val="single" w:color="auto" w:sz="4" w:space="0"/>
            </w:tcBorders>
            <w:vAlign w:val="center"/>
          </w:tcPr>
          <w:p>
            <w:pPr>
              <w:widowControl/>
              <w:jc w:val="center"/>
              <w:rPr>
                <w:rFonts w:hint="default" w:ascii="宋体" w:eastAsia="宋体" w:cs="宋体"/>
                <w:kern w:val="0"/>
                <w:sz w:val="24"/>
                <w:lang w:val="en-US" w:eastAsia="zh-CN"/>
              </w:rPr>
            </w:pPr>
            <w:r>
              <w:rPr>
                <w:rFonts w:hint="eastAsia" w:ascii="宋体" w:cs="宋体"/>
                <w:kern w:val="0"/>
                <w:sz w:val="24"/>
                <w:lang w:val="en-US" w:eastAsia="zh-CN"/>
              </w:rPr>
              <w:t>8起</w:t>
            </w:r>
          </w:p>
        </w:tc>
        <w:tc>
          <w:tcPr>
            <w:tcW w:w="1816" w:type="dxa"/>
            <w:tcBorders>
              <w:top w:val="nil"/>
              <w:left w:val="nil"/>
              <w:bottom w:val="single" w:color="auto" w:sz="4" w:space="0"/>
              <w:right w:val="single" w:color="auto" w:sz="4" w:space="0"/>
            </w:tcBorders>
            <w:vAlign w:val="center"/>
          </w:tcPr>
          <w:p>
            <w:pPr>
              <w:widowControl/>
              <w:jc w:val="center"/>
              <w:rPr>
                <w:rFonts w:hint="eastAsia" w:ascii="宋体" w:eastAsia="宋体" w:cs="宋体"/>
                <w:kern w:val="0"/>
                <w:sz w:val="24"/>
                <w:lang w:val="en-US" w:eastAsia="zh-CN"/>
              </w:rPr>
            </w:pPr>
            <w:r>
              <w:rPr>
                <w:rFonts w:hint="eastAsia" w:ascii="宋体" w:cs="宋体"/>
                <w:kern w:val="0"/>
                <w:sz w:val="24"/>
                <w:lang w:val="en-US" w:eastAsia="zh-CN"/>
              </w:rPr>
              <w:t>8起</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0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4"/>
              </w:rPr>
            </w:pPr>
          </w:p>
        </w:tc>
        <w:tc>
          <w:tcPr>
            <w:tcW w:w="2212" w:type="dxa"/>
            <w:gridSpan w:val="3"/>
            <w:tcBorders>
              <w:top w:val="single" w:color="auto" w:sz="4" w:space="0"/>
              <w:left w:val="nil"/>
              <w:bottom w:val="single" w:color="auto" w:sz="4" w:space="0"/>
              <w:right w:val="single" w:color="000000" w:sz="4" w:space="0"/>
            </w:tcBorders>
            <w:vAlign w:val="center"/>
          </w:tcPr>
          <w:p>
            <w:pPr>
              <w:widowControl/>
              <w:jc w:val="left"/>
              <w:rPr>
                <w:rFonts w:hint="default" w:ascii="宋体" w:cs="宋体"/>
                <w:kern w:val="0"/>
                <w:sz w:val="24"/>
                <w:lang w:val="en-US"/>
              </w:rPr>
            </w:pPr>
            <w:r>
              <w:rPr>
                <w:rFonts w:hint="eastAsia" w:ascii="宋体" w:cs="宋体"/>
                <w:kern w:val="0"/>
                <w:sz w:val="24"/>
                <w:lang w:eastAsia="zh-CN"/>
              </w:rPr>
              <w:t>缴获毒品、大麻、罂粟</w:t>
            </w:r>
          </w:p>
        </w:tc>
        <w:tc>
          <w:tcPr>
            <w:tcW w:w="1532" w:type="dxa"/>
            <w:tcBorders>
              <w:top w:val="nil"/>
              <w:left w:val="nil"/>
              <w:bottom w:val="single" w:color="auto" w:sz="4" w:space="0"/>
              <w:right w:val="single" w:color="auto" w:sz="4" w:space="0"/>
            </w:tcBorders>
            <w:vAlign w:val="center"/>
          </w:tcPr>
          <w:p>
            <w:pPr>
              <w:widowControl/>
              <w:jc w:val="center"/>
              <w:rPr>
                <w:rFonts w:hint="default" w:ascii="宋体" w:eastAsia="宋体" w:cs="宋体"/>
                <w:kern w:val="0"/>
                <w:sz w:val="24"/>
                <w:lang w:val="en-US" w:eastAsia="zh-CN"/>
              </w:rPr>
            </w:pPr>
            <w:r>
              <w:rPr>
                <w:rFonts w:hint="eastAsia" w:ascii="宋体" w:cs="宋体"/>
                <w:kern w:val="0"/>
                <w:sz w:val="24"/>
                <w:lang w:val="en-US" w:eastAsia="zh-CN"/>
              </w:rPr>
              <w:t>9200个</w:t>
            </w:r>
          </w:p>
        </w:tc>
        <w:tc>
          <w:tcPr>
            <w:tcW w:w="1816" w:type="dxa"/>
            <w:tcBorders>
              <w:top w:val="nil"/>
              <w:left w:val="nil"/>
              <w:bottom w:val="single" w:color="auto" w:sz="4" w:space="0"/>
              <w:right w:val="single" w:color="auto" w:sz="4" w:space="0"/>
            </w:tcBorders>
            <w:vAlign w:val="center"/>
          </w:tcPr>
          <w:p>
            <w:pPr>
              <w:widowControl/>
              <w:jc w:val="center"/>
              <w:rPr>
                <w:rFonts w:hint="default" w:ascii="宋体" w:eastAsia="宋体" w:cs="宋体"/>
                <w:kern w:val="0"/>
                <w:sz w:val="24"/>
                <w:lang w:val="en-US" w:eastAsia="zh-CN"/>
              </w:rPr>
            </w:pPr>
            <w:r>
              <w:rPr>
                <w:rFonts w:hint="eastAsia" w:ascii="宋体" w:cs="宋体"/>
                <w:kern w:val="0"/>
                <w:sz w:val="24"/>
                <w:lang w:val="en-US" w:eastAsia="zh-CN"/>
              </w:rPr>
              <w:t>9200个</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0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2" w:type="dxa"/>
            <w:vMerge w:val="restart"/>
            <w:tcBorders>
              <w:top w:val="nil"/>
              <w:left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质量指标</w:t>
            </w:r>
          </w:p>
        </w:tc>
        <w:tc>
          <w:tcPr>
            <w:tcW w:w="2212" w:type="dxa"/>
            <w:gridSpan w:val="3"/>
            <w:tcBorders>
              <w:top w:val="single" w:color="auto" w:sz="4" w:space="0"/>
              <w:left w:val="nil"/>
              <w:bottom w:val="single" w:color="auto" w:sz="4" w:space="0"/>
              <w:right w:val="single" w:color="000000" w:sz="4" w:space="0"/>
            </w:tcBorders>
            <w:vAlign w:val="center"/>
          </w:tcPr>
          <w:p>
            <w:pPr>
              <w:widowControl/>
              <w:jc w:val="left"/>
              <w:rPr>
                <w:rFonts w:hint="eastAsia" w:ascii="宋体" w:eastAsia="宋体" w:cs="宋体"/>
                <w:kern w:val="0"/>
                <w:sz w:val="24"/>
                <w:lang w:eastAsia="zh-CN"/>
              </w:rPr>
            </w:pPr>
            <w:r>
              <w:rPr>
                <w:rFonts w:hint="eastAsia" w:ascii="宋体" w:hAnsi="宋体" w:cs="宋体"/>
                <w:kern w:val="0"/>
                <w:sz w:val="24"/>
                <w:lang w:eastAsia="zh-CN"/>
              </w:rPr>
              <w:t>禁毒经费依法执行率</w:t>
            </w:r>
          </w:p>
        </w:tc>
        <w:tc>
          <w:tcPr>
            <w:tcW w:w="1532" w:type="dxa"/>
            <w:tcBorders>
              <w:top w:val="nil"/>
              <w:left w:val="nil"/>
              <w:bottom w:val="single" w:color="auto" w:sz="4" w:space="0"/>
              <w:right w:val="single" w:color="auto" w:sz="4" w:space="0"/>
            </w:tcBorders>
            <w:vAlign w:val="center"/>
          </w:tcPr>
          <w:p>
            <w:pPr>
              <w:widowControl/>
              <w:jc w:val="center"/>
              <w:rPr>
                <w:rFonts w:hint="default" w:ascii="宋体" w:eastAsia="宋体" w:cs="宋体"/>
                <w:kern w:val="0"/>
                <w:sz w:val="24"/>
                <w:lang w:val="en-US" w:eastAsia="zh-CN"/>
              </w:rPr>
            </w:pPr>
            <w:r>
              <w:rPr>
                <w:rFonts w:hint="eastAsia" w:ascii="宋体" w:cs="宋体"/>
                <w:kern w:val="0"/>
                <w:sz w:val="24"/>
                <w:lang w:val="en-US" w:eastAsia="zh-CN"/>
              </w:rPr>
              <w:t>100%</w:t>
            </w:r>
          </w:p>
        </w:tc>
        <w:tc>
          <w:tcPr>
            <w:tcW w:w="1816"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0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2" w:type="dxa"/>
            <w:vMerge w:val="continue"/>
            <w:tcBorders>
              <w:left w:val="nil"/>
              <w:right w:val="single" w:color="auto" w:sz="4" w:space="0"/>
            </w:tcBorders>
            <w:vAlign w:val="center"/>
          </w:tcPr>
          <w:p>
            <w:pPr>
              <w:widowControl/>
              <w:jc w:val="center"/>
              <w:rPr>
                <w:rFonts w:hint="eastAsia" w:ascii="宋体" w:hAnsi="宋体" w:cs="宋体"/>
                <w:kern w:val="0"/>
                <w:sz w:val="24"/>
              </w:rPr>
            </w:pPr>
          </w:p>
        </w:tc>
        <w:tc>
          <w:tcPr>
            <w:tcW w:w="2212" w:type="dxa"/>
            <w:gridSpan w:val="3"/>
            <w:tcBorders>
              <w:top w:val="single" w:color="auto" w:sz="4" w:space="0"/>
              <w:left w:val="nil"/>
              <w:bottom w:val="single" w:color="auto" w:sz="4" w:space="0"/>
              <w:right w:val="single" w:color="000000" w:sz="4" w:space="0"/>
            </w:tcBorders>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禁毒案件破获率</w:t>
            </w:r>
          </w:p>
        </w:tc>
        <w:tc>
          <w:tcPr>
            <w:tcW w:w="1532" w:type="dxa"/>
            <w:tcBorders>
              <w:top w:val="nil"/>
              <w:left w:val="nil"/>
              <w:bottom w:val="single" w:color="auto" w:sz="4" w:space="0"/>
              <w:right w:val="single" w:color="auto" w:sz="4" w:space="0"/>
            </w:tcBorders>
            <w:vAlign w:val="center"/>
          </w:tcPr>
          <w:p>
            <w:pPr>
              <w:widowControl/>
              <w:jc w:val="center"/>
              <w:rPr>
                <w:rFonts w:hint="default" w:ascii="宋体" w:eastAsia="宋体" w:cs="宋体"/>
                <w:kern w:val="0"/>
                <w:sz w:val="24"/>
                <w:lang w:val="en-US" w:eastAsia="zh-CN"/>
              </w:rPr>
            </w:pPr>
            <w:r>
              <w:rPr>
                <w:rFonts w:hint="eastAsia" w:ascii="宋体" w:cs="宋体"/>
                <w:kern w:val="0"/>
                <w:sz w:val="24"/>
                <w:lang w:val="en-US" w:eastAsia="zh-CN"/>
              </w:rPr>
              <w:t>90%</w:t>
            </w:r>
          </w:p>
        </w:tc>
        <w:tc>
          <w:tcPr>
            <w:tcW w:w="1816"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lang w:val="en-US" w:eastAsia="zh-CN"/>
              </w:rPr>
              <w:t>90%</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0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2" w:type="dxa"/>
            <w:vMerge w:val="continue"/>
            <w:tcBorders>
              <w:left w:val="nil"/>
              <w:bottom w:val="nil"/>
              <w:right w:val="single" w:color="auto" w:sz="4" w:space="0"/>
            </w:tcBorders>
            <w:vAlign w:val="center"/>
          </w:tcPr>
          <w:p>
            <w:pPr>
              <w:widowControl/>
              <w:jc w:val="center"/>
              <w:rPr>
                <w:rFonts w:hint="eastAsia" w:ascii="宋体" w:hAnsi="宋体" w:cs="宋体"/>
                <w:kern w:val="0"/>
                <w:sz w:val="24"/>
              </w:rPr>
            </w:pPr>
          </w:p>
        </w:tc>
        <w:tc>
          <w:tcPr>
            <w:tcW w:w="2212" w:type="dxa"/>
            <w:gridSpan w:val="3"/>
            <w:tcBorders>
              <w:top w:val="single" w:color="auto" w:sz="4" w:space="0"/>
              <w:left w:val="nil"/>
              <w:bottom w:val="single" w:color="auto" w:sz="4" w:space="0"/>
              <w:right w:val="single" w:color="000000" w:sz="4" w:space="0"/>
            </w:tcBorders>
            <w:vAlign w:val="center"/>
          </w:tcPr>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毒品依法收缴率</w:t>
            </w:r>
          </w:p>
        </w:tc>
        <w:tc>
          <w:tcPr>
            <w:tcW w:w="153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lang w:val="en-US" w:eastAsia="zh-CN"/>
              </w:rPr>
              <w:t>100%</w:t>
            </w:r>
          </w:p>
        </w:tc>
        <w:tc>
          <w:tcPr>
            <w:tcW w:w="1816"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0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2"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时效指标</w:t>
            </w:r>
          </w:p>
        </w:tc>
        <w:tc>
          <w:tcPr>
            <w:tcW w:w="2212" w:type="dxa"/>
            <w:gridSpan w:val="3"/>
            <w:tcBorders>
              <w:top w:val="single" w:color="auto" w:sz="4" w:space="0"/>
              <w:left w:val="nil"/>
              <w:bottom w:val="single" w:color="auto" w:sz="4" w:space="0"/>
              <w:right w:val="single" w:color="000000" w:sz="4" w:space="0"/>
            </w:tcBorders>
            <w:vAlign w:val="center"/>
          </w:tcPr>
          <w:p>
            <w:pPr>
              <w:widowControl/>
              <w:jc w:val="left"/>
              <w:rPr>
                <w:rFonts w:hint="eastAsia" w:ascii="宋体" w:eastAsia="宋体" w:cs="宋体"/>
                <w:kern w:val="0"/>
                <w:sz w:val="24"/>
                <w:lang w:eastAsia="zh-CN"/>
              </w:rPr>
            </w:pPr>
            <w:r>
              <w:rPr>
                <w:rFonts w:hint="eastAsia" w:ascii="宋体" w:hAnsi="宋体" w:cs="宋体"/>
                <w:kern w:val="0"/>
                <w:sz w:val="24"/>
                <w:lang w:eastAsia="zh-CN"/>
              </w:rPr>
              <w:t>资金执行率</w:t>
            </w:r>
          </w:p>
        </w:tc>
        <w:tc>
          <w:tcPr>
            <w:tcW w:w="1532" w:type="dxa"/>
            <w:tcBorders>
              <w:top w:val="nil"/>
              <w:left w:val="nil"/>
              <w:bottom w:val="single" w:color="auto" w:sz="4" w:space="0"/>
              <w:right w:val="single" w:color="auto" w:sz="4" w:space="0"/>
            </w:tcBorders>
            <w:vAlign w:val="center"/>
          </w:tcPr>
          <w:p>
            <w:pPr>
              <w:widowControl/>
              <w:jc w:val="center"/>
              <w:rPr>
                <w:rFonts w:hint="default" w:ascii="宋体" w:eastAsia="宋体" w:cs="宋体"/>
                <w:kern w:val="0"/>
                <w:sz w:val="24"/>
                <w:lang w:val="en-US" w:eastAsia="zh-CN"/>
              </w:rPr>
            </w:pPr>
            <w:r>
              <w:rPr>
                <w:rFonts w:hint="eastAsia" w:ascii="宋体" w:cs="宋体"/>
                <w:kern w:val="0"/>
                <w:sz w:val="24"/>
                <w:lang w:val="en-US" w:eastAsia="zh-CN"/>
              </w:rPr>
              <w:t>100%</w:t>
            </w:r>
          </w:p>
        </w:tc>
        <w:tc>
          <w:tcPr>
            <w:tcW w:w="1816"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cs="宋体"/>
                <w:kern w:val="0"/>
                <w:sz w:val="24"/>
                <w:lang w:val="en-US" w:eastAsia="zh-CN"/>
              </w:rPr>
              <w:t>100%</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0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302"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成本指标</w:t>
            </w:r>
          </w:p>
        </w:tc>
        <w:tc>
          <w:tcPr>
            <w:tcW w:w="2212" w:type="dxa"/>
            <w:gridSpan w:val="3"/>
            <w:tcBorders>
              <w:top w:val="single" w:color="auto" w:sz="4" w:space="0"/>
              <w:left w:val="nil"/>
              <w:bottom w:val="single" w:color="auto" w:sz="4" w:space="0"/>
              <w:right w:val="single" w:color="000000" w:sz="4" w:space="0"/>
            </w:tcBorders>
            <w:vAlign w:val="center"/>
          </w:tcPr>
          <w:p>
            <w:pPr>
              <w:widowControl/>
              <w:jc w:val="left"/>
              <w:rPr>
                <w:rFonts w:hint="eastAsia" w:ascii="宋体" w:eastAsia="宋体" w:cs="宋体"/>
                <w:kern w:val="0"/>
                <w:sz w:val="24"/>
                <w:lang w:eastAsia="zh-CN"/>
              </w:rPr>
            </w:pPr>
            <w:r>
              <w:rPr>
                <w:rFonts w:hint="eastAsia" w:ascii="宋体" w:hAnsi="宋体" w:cs="宋体"/>
                <w:kern w:val="0"/>
                <w:sz w:val="24"/>
                <w:lang w:eastAsia="zh-CN"/>
              </w:rPr>
              <w:t>上级专项资金金额</w:t>
            </w:r>
          </w:p>
        </w:tc>
        <w:tc>
          <w:tcPr>
            <w:tcW w:w="1532" w:type="dxa"/>
            <w:tcBorders>
              <w:top w:val="nil"/>
              <w:left w:val="nil"/>
              <w:bottom w:val="single" w:color="auto" w:sz="4" w:space="0"/>
              <w:right w:val="single" w:color="auto" w:sz="4" w:space="0"/>
            </w:tcBorders>
            <w:vAlign w:val="center"/>
          </w:tcPr>
          <w:p>
            <w:pPr>
              <w:widowControl/>
              <w:jc w:val="center"/>
              <w:rPr>
                <w:rFonts w:hint="default" w:ascii="宋体" w:cs="宋体"/>
                <w:kern w:val="0"/>
                <w:sz w:val="24"/>
                <w:lang w:val="en-US"/>
              </w:rPr>
            </w:pPr>
            <w:r>
              <w:rPr>
                <w:rFonts w:hint="eastAsia" w:ascii="宋体" w:cs="宋体"/>
                <w:kern w:val="0"/>
                <w:sz w:val="24"/>
                <w:lang w:val="en-US" w:eastAsia="zh-CN"/>
              </w:rPr>
              <w:t>29.3万元</w:t>
            </w:r>
          </w:p>
        </w:tc>
        <w:tc>
          <w:tcPr>
            <w:tcW w:w="1816" w:type="dxa"/>
            <w:tcBorders>
              <w:top w:val="nil"/>
              <w:left w:val="nil"/>
              <w:bottom w:val="single" w:color="auto" w:sz="4" w:space="0"/>
              <w:right w:val="single" w:color="auto" w:sz="4" w:space="0"/>
            </w:tcBorders>
            <w:vAlign w:val="center"/>
          </w:tcPr>
          <w:p>
            <w:pPr>
              <w:widowControl/>
              <w:jc w:val="center"/>
              <w:rPr>
                <w:rFonts w:hint="default" w:ascii="宋体" w:eastAsia="宋体" w:cs="宋体"/>
                <w:kern w:val="0"/>
                <w:sz w:val="24"/>
                <w:lang w:val="en-US" w:eastAsia="zh-CN"/>
              </w:rPr>
            </w:pPr>
            <w:r>
              <w:rPr>
                <w:rFonts w:hint="eastAsia" w:ascii="宋体" w:cs="宋体"/>
                <w:kern w:val="0"/>
                <w:sz w:val="24"/>
                <w:lang w:val="en-US" w:eastAsia="zh-CN"/>
              </w:rPr>
              <w:t>29.3万元</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06"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项目效果指标</w:t>
            </w:r>
          </w:p>
        </w:tc>
        <w:tc>
          <w:tcPr>
            <w:tcW w:w="1302"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经济效益指标</w:t>
            </w:r>
          </w:p>
        </w:tc>
        <w:tc>
          <w:tcPr>
            <w:tcW w:w="2212" w:type="dxa"/>
            <w:gridSpan w:val="3"/>
            <w:tcBorders>
              <w:top w:val="single" w:color="auto" w:sz="4" w:space="0"/>
              <w:left w:val="nil"/>
              <w:bottom w:val="single" w:color="auto" w:sz="4" w:space="0"/>
              <w:right w:val="single" w:color="000000" w:sz="4" w:space="0"/>
            </w:tcBorders>
            <w:vAlign w:val="center"/>
          </w:tcPr>
          <w:p>
            <w:pPr>
              <w:widowControl/>
              <w:jc w:val="left"/>
              <w:rPr>
                <w:rFonts w:hint="default" w:ascii="宋体" w:eastAsia="宋体" w:cs="宋体"/>
                <w:kern w:val="0"/>
                <w:sz w:val="24"/>
                <w:lang w:val="en-US" w:eastAsia="zh-CN"/>
              </w:rPr>
            </w:pPr>
            <w:r>
              <w:rPr>
                <w:rFonts w:ascii="宋体" w:hAnsi="宋体" w:cs="宋体"/>
                <w:kern w:val="0"/>
                <w:sz w:val="24"/>
              </w:rPr>
              <w:t xml:space="preserve"> </w:t>
            </w:r>
          </w:p>
        </w:tc>
        <w:tc>
          <w:tcPr>
            <w:tcW w:w="1532" w:type="dxa"/>
            <w:tcBorders>
              <w:top w:val="nil"/>
              <w:left w:val="nil"/>
              <w:bottom w:val="single" w:color="auto" w:sz="4" w:space="0"/>
              <w:right w:val="single" w:color="auto" w:sz="4" w:space="0"/>
            </w:tcBorders>
            <w:vAlign w:val="center"/>
          </w:tcPr>
          <w:p>
            <w:pPr>
              <w:widowControl/>
              <w:jc w:val="center"/>
              <w:rPr>
                <w:rFonts w:ascii="宋体" w:cs="宋体"/>
                <w:kern w:val="0"/>
                <w:sz w:val="24"/>
              </w:rPr>
            </w:pPr>
          </w:p>
        </w:tc>
        <w:tc>
          <w:tcPr>
            <w:tcW w:w="1816" w:type="dxa"/>
            <w:tcBorders>
              <w:top w:val="nil"/>
              <w:left w:val="nil"/>
              <w:bottom w:val="single" w:color="auto" w:sz="4" w:space="0"/>
              <w:right w:val="single" w:color="auto" w:sz="4" w:space="0"/>
            </w:tcBorders>
            <w:vAlign w:val="center"/>
          </w:tcPr>
          <w:p>
            <w:pPr>
              <w:widowControl/>
              <w:jc w:val="center"/>
              <w:rPr>
                <w:rFonts w:ascii="宋体" w:cs="宋体"/>
                <w:kern w:val="0"/>
                <w:sz w:val="24"/>
              </w:rPr>
            </w:pP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06"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302"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社会效益指标</w:t>
            </w:r>
          </w:p>
        </w:tc>
        <w:tc>
          <w:tcPr>
            <w:tcW w:w="2212" w:type="dxa"/>
            <w:gridSpan w:val="3"/>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eastAsia="zh-CN"/>
              </w:rPr>
              <w:t>毒品犯罪案件发案情况</w:t>
            </w:r>
          </w:p>
        </w:tc>
        <w:tc>
          <w:tcPr>
            <w:tcW w:w="1532" w:type="dxa"/>
            <w:tcBorders>
              <w:top w:val="nil"/>
              <w:left w:val="nil"/>
              <w:bottom w:val="single" w:color="auto" w:sz="4" w:space="0"/>
              <w:right w:val="single" w:color="auto" w:sz="4" w:space="0"/>
            </w:tcBorders>
            <w:vAlign w:val="center"/>
          </w:tcPr>
          <w:p>
            <w:pPr>
              <w:widowControl/>
              <w:jc w:val="center"/>
              <w:rPr>
                <w:rFonts w:hint="eastAsia" w:ascii="宋体" w:eastAsia="宋体" w:cs="宋体"/>
                <w:kern w:val="0"/>
                <w:sz w:val="24"/>
                <w:lang w:eastAsia="zh-CN"/>
              </w:rPr>
            </w:pPr>
            <w:r>
              <w:rPr>
                <w:rFonts w:hint="eastAsia" w:ascii="宋体" w:hAnsi="宋体" w:cs="宋体"/>
                <w:kern w:val="0"/>
                <w:sz w:val="24"/>
                <w:lang w:eastAsia="zh-CN"/>
              </w:rPr>
              <w:t>毒品犯罪案件明显减少</w:t>
            </w:r>
          </w:p>
        </w:tc>
        <w:tc>
          <w:tcPr>
            <w:tcW w:w="1816"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lang w:eastAsia="zh-CN"/>
              </w:rPr>
              <w:t>毒品犯罪案件明显减少</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06"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302"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2212" w:type="dxa"/>
            <w:gridSpan w:val="3"/>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rPr>
              <w:t>维护社会</w:t>
            </w:r>
            <w:r>
              <w:rPr>
                <w:rFonts w:hint="eastAsia" w:ascii="宋体" w:hAnsi="宋体" w:cs="宋体"/>
                <w:kern w:val="0"/>
                <w:sz w:val="24"/>
                <w:lang w:eastAsia="zh-CN"/>
              </w:rPr>
              <w:t>治安明显好转</w:t>
            </w:r>
          </w:p>
        </w:tc>
        <w:tc>
          <w:tcPr>
            <w:tcW w:w="1532" w:type="dxa"/>
            <w:tcBorders>
              <w:top w:val="nil"/>
              <w:left w:val="nil"/>
              <w:bottom w:val="single" w:color="auto" w:sz="4" w:space="0"/>
              <w:right w:val="single" w:color="auto" w:sz="4" w:space="0"/>
            </w:tcBorders>
            <w:vAlign w:val="center"/>
          </w:tcPr>
          <w:p>
            <w:pPr>
              <w:widowControl/>
              <w:jc w:val="center"/>
              <w:rPr>
                <w:rFonts w:hint="eastAsia" w:ascii="宋体" w:eastAsia="宋体" w:cs="宋体"/>
                <w:kern w:val="0"/>
                <w:sz w:val="24"/>
                <w:lang w:eastAsia="zh-CN"/>
              </w:rPr>
            </w:pPr>
            <w:r>
              <w:rPr>
                <w:rFonts w:hint="eastAsia" w:ascii="宋体" w:hAnsi="宋体" w:cs="宋体"/>
                <w:kern w:val="0"/>
                <w:sz w:val="24"/>
              </w:rPr>
              <w:t>犯罪数逐年减少</w:t>
            </w:r>
          </w:p>
        </w:tc>
        <w:tc>
          <w:tcPr>
            <w:tcW w:w="1816"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犯罪数逐年减少</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06"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302"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生态效益指标</w:t>
            </w:r>
          </w:p>
        </w:tc>
        <w:tc>
          <w:tcPr>
            <w:tcW w:w="2212" w:type="dxa"/>
            <w:gridSpan w:val="3"/>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ascii="宋体" w:hAnsi="宋体" w:cs="宋体"/>
                <w:kern w:val="0"/>
                <w:sz w:val="24"/>
              </w:rPr>
              <w:t xml:space="preserve"> </w:t>
            </w:r>
          </w:p>
        </w:tc>
        <w:tc>
          <w:tcPr>
            <w:tcW w:w="1532" w:type="dxa"/>
            <w:tcBorders>
              <w:top w:val="nil"/>
              <w:left w:val="nil"/>
              <w:bottom w:val="single" w:color="auto" w:sz="4" w:space="0"/>
              <w:right w:val="single" w:color="auto" w:sz="4" w:space="0"/>
            </w:tcBorders>
            <w:vAlign w:val="center"/>
          </w:tcPr>
          <w:p>
            <w:pPr>
              <w:widowControl/>
              <w:jc w:val="center"/>
              <w:rPr>
                <w:rFonts w:ascii="宋体" w:cs="宋体"/>
                <w:kern w:val="0"/>
                <w:sz w:val="24"/>
              </w:rPr>
            </w:pPr>
          </w:p>
        </w:tc>
        <w:tc>
          <w:tcPr>
            <w:tcW w:w="1816" w:type="dxa"/>
            <w:tcBorders>
              <w:top w:val="nil"/>
              <w:left w:val="nil"/>
              <w:bottom w:val="single" w:color="auto" w:sz="4" w:space="0"/>
              <w:right w:val="single" w:color="auto" w:sz="4" w:space="0"/>
            </w:tcBorders>
            <w:vAlign w:val="center"/>
          </w:tcPr>
          <w:p>
            <w:pPr>
              <w:widowControl/>
              <w:jc w:val="center"/>
              <w:rPr>
                <w:rFonts w:ascii="宋体" w:cs="宋体"/>
                <w:kern w:val="0"/>
                <w:sz w:val="24"/>
              </w:rPr>
            </w:pP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06"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kern w:val="0"/>
                <w:sz w:val="24"/>
              </w:rPr>
            </w:pPr>
          </w:p>
        </w:tc>
        <w:tc>
          <w:tcPr>
            <w:tcW w:w="1302" w:type="dxa"/>
            <w:tcBorders>
              <w:top w:val="single" w:color="auto" w:sz="4" w:space="0"/>
              <w:left w:val="nil"/>
              <w:bottom w:val="nil"/>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可持续影响指标</w:t>
            </w:r>
          </w:p>
        </w:tc>
        <w:tc>
          <w:tcPr>
            <w:tcW w:w="2212" w:type="dxa"/>
            <w:gridSpan w:val="3"/>
            <w:tcBorders>
              <w:top w:val="single" w:color="auto" w:sz="4" w:space="0"/>
              <w:left w:val="nil"/>
              <w:bottom w:val="single" w:color="auto" w:sz="4" w:space="0"/>
              <w:right w:val="single" w:color="000000" w:sz="4" w:space="0"/>
            </w:tcBorders>
            <w:vAlign w:val="center"/>
          </w:tcPr>
          <w:p>
            <w:pPr>
              <w:widowControl/>
              <w:jc w:val="left"/>
              <w:rPr>
                <w:rFonts w:hint="eastAsia" w:ascii="宋体" w:eastAsia="宋体" w:cs="宋体"/>
                <w:kern w:val="0"/>
                <w:sz w:val="24"/>
                <w:lang w:eastAsia="zh-CN"/>
              </w:rPr>
            </w:pPr>
            <w:r>
              <w:rPr>
                <w:rFonts w:hint="eastAsia" w:ascii="宋体" w:hAnsi="宋体" w:cs="宋体"/>
                <w:kern w:val="0"/>
                <w:sz w:val="24"/>
                <w:lang w:eastAsia="zh-CN"/>
              </w:rPr>
              <w:t>项目持续时常</w:t>
            </w:r>
          </w:p>
        </w:tc>
        <w:tc>
          <w:tcPr>
            <w:tcW w:w="1532" w:type="dxa"/>
            <w:tcBorders>
              <w:top w:val="nil"/>
              <w:left w:val="nil"/>
              <w:bottom w:val="single" w:color="auto" w:sz="4" w:space="0"/>
              <w:right w:val="single" w:color="auto" w:sz="4" w:space="0"/>
            </w:tcBorders>
            <w:vAlign w:val="center"/>
          </w:tcPr>
          <w:p>
            <w:pPr>
              <w:widowControl/>
              <w:jc w:val="center"/>
              <w:rPr>
                <w:rFonts w:hint="eastAsia" w:ascii="宋体" w:eastAsia="宋体" w:cs="宋体"/>
                <w:kern w:val="0"/>
                <w:sz w:val="24"/>
                <w:lang w:val="en-US" w:eastAsia="zh-CN"/>
              </w:rPr>
            </w:pPr>
            <w:r>
              <w:rPr>
                <w:rFonts w:hint="eastAsia" w:ascii="宋体" w:hAnsi="宋体" w:cs="宋体"/>
                <w:kern w:val="0"/>
                <w:sz w:val="24"/>
                <w:lang w:val="en-US" w:eastAsia="zh-CN"/>
              </w:rPr>
              <w:t>1年</w:t>
            </w:r>
          </w:p>
        </w:tc>
        <w:tc>
          <w:tcPr>
            <w:tcW w:w="1816" w:type="dxa"/>
            <w:tcBorders>
              <w:top w:val="nil"/>
              <w:left w:val="nil"/>
              <w:bottom w:val="single" w:color="auto" w:sz="4" w:space="0"/>
              <w:right w:val="single" w:color="auto" w:sz="4" w:space="0"/>
            </w:tcBorders>
            <w:vAlign w:val="center"/>
          </w:tcPr>
          <w:p>
            <w:pPr>
              <w:widowControl/>
              <w:jc w:val="center"/>
              <w:rPr>
                <w:rFonts w:hint="eastAsia" w:ascii="宋体" w:eastAsia="宋体" w:cs="宋体"/>
                <w:kern w:val="0"/>
                <w:sz w:val="24"/>
                <w:lang w:val="en-US" w:eastAsia="zh-CN"/>
              </w:rPr>
            </w:pPr>
            <w:r>
              <w:rPr>
                <w:rFonts w:hint="eastAsia" w:ascii="宋体" w:hAnsi="宋体" w:cs="宋体"/>
                <w:kern w:val="0"/>
                <w:sz w:val="24"/>
                <w:lang w:val="en-US" w:eastAsia="zh-CN"/>
              </w:rPr>
              <w:t>1年</w:t>
            </w:r>
          </w:p>
        </w:tc>
      </w:tr>
      <w:tr>
        <w:tblPrEx>
          <w:tblLayout w:type="fixed"/>
          <w:tblCellMar>
            <w:top w:w="0" w:type="dxa"/>
            <w:left w:w="108" w:type="dxa"/>
            <w:bottom w:w="0" w:type="dxa"/>
            <w:right w:w="108" w:type="dxa"/>
          </w:tblCellMar>
        </w:tblPrEx>
        <w:trPr>
          <w:trHeight w:val="585" w:hRule="atLeast"/>
        </w:trPr>
        <w:tc>
          <w:tcPr>
            <w:tcW w:w="696" w:type="dxa"/>
            <w:vMerge w:val="continue"/>
            <w:tcBorders>
              <w:top w:val="nil"/>
              <w:left w:val="single" w:color="auto" w:sz="4" w:space="0"/>
              <w:bottom w:val="nil"/>
              <w:right w:val="single" w:color="auto" w:sz="4" w:space="0"/>
            </w:tcBorders>
            <w:vAlign w:val="center"/>
          </w:tcPr>
          <w:p>
            <w:pPr>
              <w:widowControl/>
              <w:jc w:val="left"/>
              <w:rPr>
                <w:rFonts w:ascii="宋体" w:cs="宋体"/>
                <w:kern w:val="0"/>
                <w:sz w:val="24"/>
              </w:rPr>
            </w:pPr>
          </w:p>
        </w:tc>
        <w:tc>
          <w:tcPr>
            <w:tcW w:w="1206"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满意度指标</w:t>
            </w:r>
          </w:p>
        </w:tc>
        <w:tc>
          <w:tcPr>
            <w:tcW w:w="1302"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满意度指标</w:t>
            </w:r>
          </w:p>
        </w:tc>
        <w:tc>
          <w:tcPr>
            <w:tcW w:w="2212" w:type="dxa"/>
            <w:gridSpan w:val="3"/>
            <w:tcBorders>
              <w:top w:val="single" w:color="auto" w:sz="4" w:space="0"/>
              <w:left w:val="nil"/>
              <w:bottom w:val="single" w:color="auto" w:sz="4" w:space="0"/>
              <w:right w:val="single" w:color="000000" w:sz="4" w:space="0"/>
            </w:tcBorders>
            <w:vAlign w:val="center"/>
          </w:tcPr>
          <w:p>
            <w:pPr>
              <w:widowControl/>
              <w:jc w:val="left"/>
              <w:rPr>
                <w:rFonts w:ascii="宋体" w:cs="宋体"/>
                <w:kern w:val="0"/>
                <w:sz w:val="24"/>
              </w:rPr>
            </w:pPr>
            <w:r>
              <w:rPr>
                <w:rFonts w:hint="eastAsia" w:ascii="宋体" w:hAnsi="宋体" w:cs="宋体"/>
                <w:kern w:val="0"/>
                <w:sz w:val="24"/>
                <w:lang w:eastAsia="zh-CN"/>
              </w:rPr>
              <w:t>群众稳定</w:t>
            </w:r>
            <w:r>
              <w:rPr>
                <w:rFonts w:hint="eastAsia" w:ascii="宋体" w:hAnsi="宋体" w:cs="宋体"/>
                <w:kern w:val="0"/>
                <w:sz w:val="24"/>
              </w:rPr>
              <w:t>满意度</w:t>
            </w:r>
          </w:p>
        </w:tc>
        <w:tc>
          <w:tcPr>
            <w:tcW w:w="1532"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ascii="宋体" w:hAnsi="宋体" w:cs="宋体"/>
                <w:kern w:val="0"/>
                <w:sz w:val="24"/>
              </w:rPr>
              <w:t>&gt;90%</w:t>
            </w:r>
          </w:p>
        </w:tc>
        <w:tc>
          <w:tcPr>
            <w:tcW w:w="1816"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lang w:val="en-US" w:eastAsia="zh-CN"/>
              </w:rPr>
              <w:t>100</w:t>
            </w:r>
            <w:r>
              <w:rPr>
                <w:rFonts w:ascii="宋体" w:hAnsi="宋体" w:cs="宋体"/>
                <w:kern w:val="0"/>
                <w:sz w:val="24"/>
              </w:rPr>
              <w:t>%</w:t>
            </w:r>
          </w:p>
        </w:tc>
      </w:tr>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微软雅黑"/>
    <w:panose1 w:val="00000000000000000000"/>
    <w:charset w:val="86"/>
    <w:family w:val="auto"/>
    <w:pitch w:val="default"/>
    <w:sig w:usb0="00000000" w:usb1="00000000" w:usb2="00000010" w:usb3="00000000" w:csb0="0004009F" w:csb1="00000000"/>
  </w:font>
  <w:font w:name="方正小标宋_GBK">
    <w:altName w:val="微软雅黑"/>
    <w:panose1 w:val="02000000000000000000"/>
    <w:charset w:val="86"/>
    <w:family w:val="script"/>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宋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6</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012EA4"/>
    <w:multiLevelType w:val="singleLevel"/>
    <w:tmpl w:val="D0012EA4"/>
    <w:lvl w:ilvl="0" w:tentative="0">
      <w:start w:val="3"/>
      <w:numFmt w:val="decimal"/>
      <w:suff w:val="nothing"/>
      <w:lvlText w:val="%1、"/>
      <w:lvlJc w:val="left"/>
    </w:lvl>
  </w:abstractNum>
  <w:abstractNum w:abstractNumId="1">
    <w:nsid w:val="2F8DF86F"/>
    <w:multiLevelType w:val="singleLevel"/>
    <w:tmpl w:val="2F8DF86F"/>
    <w:lvl w:ilvl="0" w:tentative="0">
      <w:start w:val="1"/>
      <w:numFmt w:val="decimal"/>
      <w:suff w:val="nothing"/>
      <w:lvlText w:val="%1、"/>
      <w:lvlJc w:val="left"/>
    </w:lvl>
  </w:abstractNum>
  <w:abstractNum w:abstractNumId="2">
    <w:nsid w:val="5D0FB1CA"/>
    <w:multiLevelType w:val="singleLevel"/>
    <w:tmpl w:val="5D0FB1CA"/>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65AC1"/>
    <w:rsid w:val="000E7402"/>
    <w:rsid w:val="00121AE4"/>
    <w:rsid w:val="00146AAD"/>
    <w:rsid w:val="00165B78"/>
    <w:rsid w:val="001B3A40"/>
    <w:rsid w:val="002977E8"/>
    <w:rsid w:val="003337E0"/>
    <w:rsid w:val="003C18BC"/>
    <w:rsid w:val="004366A8"/>
    <w:rsid w:val="00464900"/>
    <w:rsid w:val="00502BA7"/>
    <w:rsid w:val="005162F1"/>
    <w:rsid w:val="00535153"/>
    <w:rsid w:val="00542434"/>
    <w:rsid w:val="00554F82"/>
    <w:rsid w:val="0056390D"/>
    <w:rsid w:val="005719B0"/>
    <w:rsid w:val="005D10D6"/>
    <w:rsid w:val="00623316"/>
    <w:rsid w:val="006F709F"/>
    <w:rsid w:val="007806A5"/>
    <w:rsid w:val="007A7588"/>
    <w:rsid w:val="007C5E51"/>
    <w:rsid w:val="007D1D4C"/>
    <w:rsid w:val="0080157F"/>
    <w:rsid w:val="00855E3A"/>
    <w:rsid w:val="008858F2"/>
    <w:rsid w:val="00922CB9"/>
    <w:rsid w:val="009C4E03"/>
    <w:rsid w:val="009E5CD9"/>
    <w:rsid w:val="009F4AB5"/>
    <w:rsid w:val="00A26421"/>
    <w:rsid w:val="00A337BA"/>
    <w:rsid w:val="00A4293B"/>
    <w:rsid w:val="00A67D50"/>
    <w:rsid w:val="00A8691A"/>
    <w:rsid w:val="00AA2202"/>
    <w:rsid w:val="00AC1946"/>
    <w:rsid w:val="00B40063"/>
    <w:rsid w:val="00B41F61"/>
    <w:rsid w:val="00BA46E6"/>
    <w:rsid w:val="00C042BC"/>
    <w:rsid w:val="00C562A9"/>
    <w:rsid w:val="00C56C72"/>
    <w:rsid w:val="00CA6457"/>
    <w:rsid w:val="00CC4FD7"/>
    <w:rsid w:val="00D17F2E"/>
    <w:rsid w:val="00D209D1"/>
    <w:rsid w:val="00D2223F"/>
    <w:rsid w:val="00D30354"/>
    <w:rsid w:val="00D82C00"/>
    <w:rsid w:val="00DF42A0"/>
    <w:rsid w:val="00E0665E"/>
    <w:rsid w:val="00E46C51"/>
    <w:rsid w:val="00E769FE"/>
    <w:rsid w:val="00EA2CBE"/>
    <w:rsid w:val="00EE7710"/>
    <w:rsid w:val="00EF2659"/>
    <w:rsid w:val="00F2607F"/>
    <w:rsid w:val="00F32FEE"/>
    <w:rsid w:val="00FA45E5"/>
    <w:rsid w:val="00FB10BB"/>
    <w:rsid w:val="00FD0AD7"/>
    <w:rsid w:val="0719108E"/>
    <w:rsid w:val="0B6561C6"/>
    <w:rsid w:val="0F9B578D"/>
    <w:rsid w:val="111E370E"/>
    <w:rsid w:val="117213BA"/>
    <w:rsid w:val="15972C25"/>
    <w:rsid w:val="192E5750"/>
    <w:rsid w:val="1BBE653D"/>
    <w:rsid w:val="1D266723"/>
    <w:rsid w:val="1D8001D1"/>
    <w:rsid w:val="23BD00B1"/>
    <w:rsid w:val="2538224B"/>
    <w:rsid w:val="258C68BE"/>
    <w:rsid w:val="29040603"/>
    <w:rsid w:val="2B4D4A19"/>
    <w:rsid w:val="2B510CDC"/>
    <w:rsid w:val="2C6940F9"/>
    <w:rsid w:val="2CBB0087"/>
    <w:rsid w:val="2E087FE5"/>
    <w:rsid w:val="2FD7013E"/>
    <w:rsid w:val="307705E2"/>
    <w:rsid w:val="3A623925"/>
    <w:rsid w:val="3DE92343"/>
    <w:rsid w:val="3DEA360F"/>
    <w:rsid w:val="42B611C8"/>
    <w:rsid w:val="4941153A"/>
    <w:rsid w:val="4CBB3676"/>
    <w:rsid w:val="4D064836"/>
    <w:rsid w:val="553C40C4"/>
    <w:rsid w:val="571F2A71"/>
    <w:rsid w:val="57CB239E"/>
    <w:rsid w:val="5C8953EF"/>
    <w:rsid w:val="5FB769A4"/>
    <w:rsid w:val="63C42FF6"/>
    <w:rsid w:val="64FE03E0"/>
    <w:rsid w:val="691C08C7"/>
    <w:rsid w:val="6ADC6D4E"/>
    <w:rsid w:val="6F321BED"/>
    <w:rsid w:val="7A5C1CA7"/>
    <w:rsid w:val="7CDC572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qFormat/>
    <w:uiPriority w:val="99"/>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semiHidden/>
    <w:qFormat/>
    <w:uiPriority w:val="99"/>
    <w:pPr>
      <w:jc w:val="left"/>
    </w:pPr>
    <w:rPr>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Heading 1 Char"/>
    <w:basedOn w:val="18"/>
    <w:link w:val="2"/>
    <w:qFormat/>
    <w:locked/>
    <w:uiPriority w:val="99"/>
    <w:rPr>
      <w:rFonts w:ascii="Cambria" w:hAnsi="Cambria" w:eastAsia="宋体" w:cs="Times New Roman"/>
      <w:b/>
      <w:bCs/>
      <w:kern w:val="32"/>
      <w:sz w:val="32"/>
      <w:szCs w:val="32"/>
    </w:rPr>
  </w:style>
  <w:style w:type="character" w:customStyle="1" w:styleId="22">
    <w:name w:val="Heading 2 Char"/>
    <w:basedOn w:val="18"/>
    <w:link w:val="3"/>
    <w:semiHidden/>
    <w:qFormat/>
    <w:locked/>
    <w:uiPriority w:val="99"/>
    <w:rPr>
      <w:rFonts w:ascii="Cambria" w:hAnsi="Cambria" w:eastAsia="宋体" w:cs="Times New Roman"/>
      <w:b/>
      <w:bCs/>
      <w:i/>
      <w:iCs/>
      <w:sz w:val="28"/>
      <w:szCs w:val="28"/>
    </w:rPr>
  </w:style>
  <w:style w:type="character" w:customStyle="1" w:styleId="23">
    <w:name w:val="Heading 3 Char"/>
    <w:basedOn w:val="18"/>
    <w:link w:val="4"/>
    <w:semiHidden/>
    <w:qFormat/>
    <w:locked/>
    <w:uiPriority w:val="99"/>
    <w:rPr>
      <w:rFonts w:ascii="Cambria" w:hAnsi="Cambria" w:eastAsia="宋体" w:cs="Times New Roman"/>
      <w:b/>
      <w:bCs/>
      <w:sz w:val="26"/>
      <w:szCs w:val="26"/>
    </w:rPr>
  </w:style>
  <w:style w:type="character" w:customStyle="1" w:styleId="24">
    <w:name w:val="Heading 4 Char"/>
    <w:basedOn w:val="18"/>
    <w:link w:val="5"/>
    <w:semiHidden/>
    <w:qFormat/>
    <w:locked/>
    <w:uiPriority w:val="99"/>
    <w:rPr>
      <w:rFonts w:cs="Times New Roman"/>
      <w:b/>
      <w:bCs/>
      <w:sz w:val="28"/>
      <w:szCs w:val="28"/>
    </w:rPr>
  </w:style>
  <w:style w:type="character" w:customStyle="1" w:styleId="25">
    <w:name w:val="Heading 5 Char"/>
    <w:basedOn w:val="18"/>
    <w:link w:val="6"/>
    <w:semiHidden/>
    <w:qFormat/>
    <w:locked/>
    <w:uiPriority w:val="99"/>
    <w:rPr>
      <w:rFonts w:cs="Times New Roman"/>
      <w:b/>
      <w:bCs/>
      <w:i/>
      <w:iCs/>
      <w:sz w:val="26"/>
      <w:szCs w:val="26"/>
    </w:rPr>
  </w:style>
  <w:style w:type="character" w:customStyle="1" w:styleId="26">
    <w:name w:val="Heading 6 Char"/>
    <w:basedOn w:val="18"/>
    <w:link w:val="7"/>
    <w:semiHidden/>
    <w:qFormat/>
    <w:locked/>
    <w:uiPriority w:val="99"/>
    <w:rPr>
      <w:rFonts w:cs="Times New Roman"/>
      <w:b/>
      <w:bCs/>
    </w:rPr>
  </w:style>
  <w:style w:type="character" w:customStyle="1" w:styleId="27">
    <w:name w:val="Heading 7 Char"/>
    <w:basedOn w:val="18"/>
    <w:link w:val="8"/>
    <w:semiHidden/>
    <w:qFormat/>
    <w:locked/>
    <w:uiPriority w:val="99"/>
    <w:rPr>
      <w:rFonts w:cs="Times New Roman"/>
      <w:sz w:val="24"/>
      <w:szCs w:val="24"/>
    </w:rPr>
  </w:style>
  <w:style w:type="character" w:customStyle="1" w:styleId="28">
    <w:name w:val="Heading 8 Char"/>
    <w:basedOn w:val="18"/>
    <w:link w:val="9"/>
    <w:semiHidden/>
    <w:qFormat/>
    <w:locked/>
    <w:uiPriority w:val="99"/>
    <w:rPr>
      <w:rFonts w:cs="Times New Roman"/>
      <w:i/>
      <w:iCs/>
      <w:sz w:val="24"/>
      <w:szCs w:val="24"/>
    </w:rPr>
  </w:style>
  <w:style w:type="character" w:customStyle="1" w:styleId="29">
    <w:name w:val="Heading 9 Char"/>
    <w:basedOn w:val="18"/>
    <w:link w:val="10"/>
    <w:semiHidden/>
    <w:qFormat/>
    <w:locked/>
    <w:uiPriority w:val="99"/>
    <w:rPr>
      <w:rFonts w:ascii="Cambria" w:hAnsi="Cambria" w:eastAsia="宋体" w:cs="Times New Roman"/>
    </w:rPr>
  </w:style>
  <w:style w:type="character" w:customStyle="1" w:styleId="30">
    <w:name w:val="Balloon Text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Footer Char"/>
    <w:basedOn w:val="18"/>
    <w:link w:val="12"/>
    <w:qFormat/>
    <w:locked/>
    <w:uiPriority w:val="99"/>
    <w:rPr>
      <w:rFonts w:ascii="Calibri" w:hAnsi="Calibri" w:eastAsia="宋体" w:cs="Times New Roman"/>
      <w:kern w:val="2"/>
      <w:sz w:val="18"/>
      <w:szCs w:val="18"/>
    </w:rPr>
  </w:style>
  <w:style w:type="character" w:customStyle="1" w:styleId="32">
    <w:name w:val="Header Char"/>
    <w:basedOn w:val="18"/>
    <w:link w:val="13"/>
    <w:qFormat/>
    <w:locked/>
    <w:uiPriority w:val="99"/>
    <w:rPr>
      <w:rFonts w:ascii="Calibri" w:hAnsi="Calibri" w:eastAsia="宋体" w:cs="Times New Roman"/>
      <w:kern w:val="2"/>
      <w:sz w:val="18"/>
      <w:szCs w:val="18"/>
    </w:rPr>
  </w:style>
  <w:style w:type="character" w:customStyle="1" w:styleId="33">
    <w:name w:val="Subtitle Char"/>
    <w:basedOn w:val="18"/>
    <w:link w:val="14"/>
    <w:qFormat/>
    <w:locked/>
    <w:uiPriority w:val="99"/>
    <w:rPr>
      <w:rFonts w:ascii="Cambria" w:hAnsi="Cambria" w:eastAsia="宋体" w:cs="Times New Roman"/>
      <w:sz w:val="24"/>
      <w:szCs w:val="24"/>
    </w:rPr>
  </w:style>
  <w:style w:type="character" w:customStyle="1" w:styleId="34">
    <w:name w:val="Title Char"/>
    <w:basedOn w:val="18"/>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Quote Char"/>
    <w:basedOn w:val="18"/>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Intense Quote Char"/>
    <w:basedOn w:val="18"/>
    <w:link w:val="39"/>
    <w:qFormat/>
    <w:locked/>
    <w:uiPriority w:val="99"/>
    <w:rPr>
      <w:rFonts w:cs="Times New Roman"/>
      <w:b/>
      <w:i/>
      <w:sz w:val="24"/>
    </w:rPr>
  </w:style>
  <w:style w:type="character" w:customStyle="1" w:styleId="41">
    <w:name w:val="不明显强调1"/>
    <w:qFormat/>
    <w:uiPriority w:val="99"/>
    <w:rPr>
      <w:i/>
      <w:color w:val="595959"/>
    </w:rPr>
  </w:style>
  <w:style w:type="character" w:customStyle="1" w:styleId="42">
    <w:name w:val="明显强调1"/>
    <w:basedOn w:val="18"/>
    <w:qFormat/>
    <w:uiPriority w:val="99"/>
    <w:rPr>
      <w:rFonts w:cs="Times New Roman"/>
      <w:b/>
      <w:i/>
      <w:sz w:val="24"/>
      <w:szCs w:val="24"/>
      <w:u w:val="single"/>
    </w:rPr>
  </w:style>
  <w:style w:type="character" w:customStyle="1" w:styleId="43">
    <w:name w:val="不明显参考1"/>
    <w:basedOn w:val="18"/>
    <w:qFormat/>
    <w:uiPriority w:val="99"/>
    <w:rPr>
      <w:rFonts w:cs="Times New Roman"/>
      <w:sz w:val="24"/>
      <w:szCs w:val="24"/>
      <w:u w:val="single"/>
    </w:rPr>
  </w:style>
  <w:style w:type="character" w:customStyle="1" w:styleId="44">
    <w:name w:val="明显参考1"/>
    <w:basedOn w:val="18"/>
    <w:qFormat/>
    <w:uiPriority w:val="99"/>
    <w:rPr>
      <w:rFonts w:cs="Times New Roman"/>
      <w:b/>
      <w:sz w:val="24"/>
      <w:u w:val="single"/>
    </w:rPr>
  </w:style>
  <w:style w:type="character" w:customStyle="1" w:styleId="45">
    <w:name w:val="书籍标题1"/>
    <w:basedOn w:val="18"/>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6</Pages>
  <Words>354</Words>
  <Characters>2020</Characters>
  <Lines>0</Lines>
  <Paragraphs>0</Paragraphs>
  <TotalTime>4</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2019-10-27T17:15:56Z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