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5C0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38E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6E2D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39AE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C65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89F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7E7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C0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AEDD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玛政办发〔2024〕37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</w:t>
      </w:r>
    </w:p>
    <w:p w14:paraId="1E008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 w14:paraId="57B4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玛纳斯县人民政府办公室关于印发《玛纳斯县2025年用水总量控制工作方案》的通知</w:t>
      </w:r>
    </w:p>
    <w:p w14:paraId="0CDC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52B6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平原林场，工业园区管委会，湿地公园管理局，各乡镇人民政府，县人民政府各部门，各企事业单位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</w:p>
    <w:p w14:paraId="1051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《玛纳斯县202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年用水总量控制工作方案》经县第十八届人民政府第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48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次常务会议审议通过，现印发给你们，请结合实际认真抓好贯彻落实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 w14:paraId="02DC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C42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1E2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玛纳斯县人民政府办公室</w:t>
      </w:r>
    </w:p>
    <w:p w14:paraId="7846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2024年12月26日</w:t>
      </w:r>
    </w:p>
    <w:p w14:paraId="6A94E2CE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br w:type="page"/>
      </w:r>
    </w:p>
    <w:p w14:paraId="04D3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6D6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玛纳斯县202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年用水总量控制工作方案</w:t>
      </w:r>
    </w:p>
    <w:p w14:paraId="4DEE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sz w:val="32"/>
          <w:szCs w:val="32"/>
        </w:rPr>
      </w:pPr>
    </w:p>
    <w:p w14:paraId="7E7CD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为认真贯彻落实最严格水资源管理制度，优化水资源配置，促进水资源可持续利用，根据《昌吉州202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年用水总量控制指标分解表》，结合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实际情况，特制定本工作方案。</w:t>
      </w:r>
    </w:p>
    <w:p w14:paraId="2C82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总体要求</w:t>
      </w:r>
    </w:p>
    <w:p w14:paraId="069A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、二十届二中、三中全会精神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和习近平新时代中国特色社会主义思想为指导，坚持“以水四定”，落实最严格水资源管理制度，加快产业结构调整和用水方式转变，保障县域经济社会用水安全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年全县各类用水总量控制在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49845</w:t>
      </w:r>
      <w:r>
        <w:rPr>
          <w:rFonts w:hint="eastAsia" w:ascii="仿宋_GB2312" w:hAnsi="仿宋_GB2312" w:eastAsia="仿宋_GB2312" w:cs="仿宋_GB2312"/>
          <w:sz w:val="32"/>
          <w:szCs w:val="32"/>
        </w:rPr>
        <w:t>万m</w:t>
      </w:r>
      <w:r>
        <w:rPr>
          <w:rStyle w:val="9"/>
          <w:rFonts w:ascii="仿宋_GB2312" w:hAns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以内。其中，农林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渔</w:t>
      </w:r>
      <w:r>
        <w:rPr>
          <w:rFonts w:hint="eastAsia" w:ascii="仿宋_GB2312" w:hAnsi="仿宋_GB2312" w:eastAsia="仿宋_GB2312" w:cs="仿宋_GB2312"/>
          <w:sz w:val="32"/>
          <w:szCs w:val="32"/>
        </w:rPr>
        <w:t>用水总量</w:t>
      </w:r>
      <w:r>
        <w:rPr>
          <w:rFonts w:ascii="仿宋_GB2312" w:hAnsi="仿宋_GB2312" w:eastAsia="仿宋_GB2312" w:cs="仿宋_GB2312"/>
          <w:sz w:val="32"/>
          <w:szCs w:val="32"/>
        </w:rPr>
        <w:t>437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万m</w:t>
      </w:r>
      <w:r>
        <w:rPr>
          <w:rStyle w:val="9"/>
          <w:rFonts w:ascii="仿宋_GB2312" w:hAns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，工业供水</w:t>
      </w:r>
      <w:r>
        <w:rPr>
          <w:rFonts w:ascii="仿宋_GB2312" w:hAnsi="仿宋_GB2312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万m</w:t>
      </w:r>
      <w:r>
        <w:rPr>
          <w:rStyle w:val="9"/>
          <w:rFonts w:ascii="仿宋_GB2312" w:hAns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，生活供水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</w:rPr>
        <w:t>万m</w:t>
      </w:r>
      <w:r>
        <w:rPr>
          <w:rStyle w:val="9"/>
          <w:rFonts w:ascii="仿宋_GB2312" w:hAnsi="仿宋_GB2312" w:eastAsia="仿宋_GB2312"/>
          <w:sz w:val="32"/>
          <w:szCs w:val="32"/>
          <w:vertAlign w:val="superscript"/>
        </w:rPr>
        <w:t>3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baseline"/>
          <w:lang w:eastAsia="zh-CN"/>
        </w:rPr>
        <w:t>，公益用水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</w:rPr>
        <w:t>万m</w:t>
      </w:r>
      <w:r>
        <w:rPr>
          <w:rStyle w:val="9"/>
          <w:rFonts w:ascii="仿宋_GB2312" w:hAns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D2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二、总体思路</w:t>
      </w:r>
    </w:p>
    <w:p w14:paraId="27AA9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（一）统筹兼顾，提高水资源配置水平。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统筹生产、生活、生态用水，执行用水定额，坚持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合理利用和开采地下水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的原则。依据县域工业及生活用水发展需求，科学分类分解各行业用水量，坚决遏制不合理用水需求，提高水资源配置水平。</w:t>
      </w:r>
    </w:p>
    <w:p w14:paraId="4AAA9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（二）优化结构，强化水资源刚性约束。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坚持公平与效益兼顾原则。强化水资源刚性约束，以水定需、量水而行、因水制宜。优化产业结构和用水结构，保障粮食安全，促进水资源节约集约高效利用，不断提高用水效率和用水效益。</w:t>
      </w:r>
    </w:p>
    <w:p w14:paraId="4B03F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强化调节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，促进水权规范化交易。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坚持政府调控与市场机制相结合的原则，实行差别化水价政策，建立以效益驱动水权流转的模式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推动水资源高效利用，充分发挥市场对水资源的配置作用，实现效益最优化最大化，推动经济社会高质量发展。</w:t>
      </w:r>
    </w:p>
    <w:p w14:paraId="76CD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加强监管，严格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用水全过程管理。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严格实行区域、流域用水总量和强度控制，以水定城、以水定产，落实规划和建设项目水资源论证制度。加块推进农业节水增效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农业水价综合改革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，全面推行超定额计划加价，以价格杠杆促进节约用水。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推进工业节水减排，支持企业开展节水改造和再生水回用改造，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提升用水工艺，提高中水利用率。巩固县域节水型社会建设成果，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严格开展水行政执法，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实施用水全过程管理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6647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 w14:paraId="65171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（一）提高政治站位，强化主体责任。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场）是落实辖区内水量控制指标的责任主体，要从讲政治、讲大局的高度充分认识强化水资源管理、优化水资源配置、推进水资源集约节约利用的紧迫性和重要性，以最坚决的态度、最严格的标准、最有力的举措科学管理和分配水量。</w:t>
      </w:r>
    </w:p>
    <w:p w14:paraId="3397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（二）强化监督管理，提高用水效率。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各用水单位要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执行最严格的水资源管理制度，实行水资源精细化管理和过程控制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进一步提高用水效率。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各乡镇（场）要加强灌溉管理，强化农田节约用水。县农业农村局要适时指导各乡镇调整种植结构，全面落实“以水定地”原则。县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林草局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统筹做好全县林业用水的监督管理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。县商工局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要加强对工业企业的节约用水管理。县水利局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强化全县用水的监督管理。</w:t>
      </w:r>
    </w:p>
    <w:p w14:paraId="1683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（三）加大宣传教育，营造节水氛围。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各相关单位要以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世界水日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中国水周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全国节水城市宣传周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契机，通过形式多样的宣传活动，对水资源合理分配利用、水权水价改革等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进行全方位、多角度地宣传，增强社会各界水资源忧患意识和节约意识。</w:t>
      </w:r>
    </w:p>
    <w:p w14:paraId="0DD1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（四）加强巡查检查，严肃执纪问责。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严格水行政执法，规范取用水秩序，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严厉打击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查处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非法取水和破坏计量设施等违法行为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。按照属地管理的原则落实乡镇水量配置方案，实行“一把手”负责制。对落实水量配置方案过程中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出现</w:t>
      </w:r>
      <w:r>
        <w:rPr>
          <w:rFonts w:hint="eastAsia" w:ascii="仿宋_GB2312" w:hAnsi="仿宋_GB2312" w:eastAsia="仿宋_GB2312" w:cs="仿宋_GB2312"/>
          <w:sz w:val="32"/>
          <w:szCs w:val="32"/>
        </w:rPr>
        <w:t>的违规和不执行有关规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单位或个人，将严肃追究责任。</w:t>
      </w:r>
    </w:p>
    <w:p w14:paraId="7DC82C63">
      <w:pPr>
        <w:keepNext w:val="0"/>
        <w:keepLines w:val="0"/>
        <w:pageBreakBefore w:val="0"/>
        <w:widowControl w:val="0"/>
        <w:tabs>
          <w:tab w:val="left" w:pos="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D936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69F1D3B">
      <w:pPr>
        <w:keepNext w:val="0"/>
        <w:keepLines w:val="0"/>
        <w:pageBreakBefore w:val="0"/>
        <w:widowControl w:val="0"/>
        <w:tabs>
          <w:tab w:val="left" w:pos="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附件：玛纳斯县202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年用水总量控制指标分配表</w:t>
      </w:r>
    </w:p>
    <w:p w14:paraId="23DACAC0"/>
    <w:p w14:paraId="20311A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53BCF2BE">
      <w:pPr>
        <w:rPr>
          <w:rFonts w:hint="eastAsia"/>
          <w:lang w:val="en-US" w:eastAsia="zh-CN"/>
        </w:rPr>
      </w:pPr>
    </w:p>
    <w:p w14:paraId="34487812">
      <w:pPr>
        <w:pStyle w:val="2"/>
        <w:spacing w:line="240" w:lineRule="auto"/>
        <w:ind w:left="0" w:leftChars="0" w:firstLine="0" w:firstLineChars="0"/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object>
          <v:shape id="_x0000_i1025" o:spt="75" type="#_x0000_t75" style="height:436.55pt;width:700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 w14:paraId="405311B5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0737F141">
      <w:pPr>
        <w:pStyle w:val="2"/>
      </w:pPr>
    </w:p>
    <w:p w14:paraId="0084835D"/>
    <w:p w14:paraId="0CE37FCF">
      <w:pPr>
        <w:pStyle w:val="2"/>
      </w:pPr>
    </w:p>
    <w:p w14:paraId="11CD0DEC"/>
    <w:p w14:paraId="4B08A8C4">
      <w:pPr>
        <w:pStyle w:val="2"/>
      </w:pPr>
    </w:p>
    <w:p w14:paraId="0AF6EB33"/>
    <w:p w14:paraId="6122A917">
      <w:pPr>
        <w:pStyle w:val="2"/>
      </w:pPr>
    </w:p>
    <w:p w14:paraId="71B7C219"/>
    <w:p w14:paraId="2499C6EF">
      <w:pPr>
        <w:pStyle w:val="2"/>
      </w:pPr>
    </w:p>
    <w:p w14:paraId="299CE08E"/>
    <w:p w14:paraId="55047F54">
      <w:pPr>
        <w:pStyle w:val="2"/>
      </w:pPr>
    </w:p>
    <w:p w14:paraId="3C4D2098"/>
    <w:p w14:paraId="616E8F86">
      <w:pPr>
        <w:pStyle w:val="2"/>
      </w:pPr>
    </w:p>
    <w:p w14:paraId="48F4632F"/>
    <w:p w14:paraId="5C71E698">
      <w:pPr>
        <w:pStyle w:val="2"/>
      </w:pPr>
    </w:p>
    <w:p w14:paraId="57CFFEB0"/>
    <w:p w14:paraId="1F7F19FB">
      <w:pPr>
        <w:pStyle w:val="2"/>
      </w:pPr>
    </w:p>
    <w:p w14:paraId="7CD656E8"/>
    <w:p w14:paraId="7232830D">
      <w:pPr>
        <w:pStyle w:val="2"/>
      </w:pPr>
    </w:p>
    <w:p w14:paraId="67FD7A7B"/>
    <w:p w14:paraId="18B16BB9">
      <w:pPr>
        <w:pStyle w:val="2"/>
      </w:pPr>
    </w:p>
    <w:p w14:paraId="20DB625A"/>
    <w:p w14:paraId="080E18E1">
      <w:pPr>
        <w:pStyle w:val="2"/>
      </w:pPr>
    </w:p>
    <w:p w14:paraId="1F95F969"/>
    <w:p w14:paraId="62556F43">
      <w:pPr>
        <w:pStyle w:val="2"/>
      </w:pPr>
    </w:p>
    <w:p w14:paraId="68E8490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F3BFE16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5E4FC3F"/>
    <w:p w14:paraId="76337A8A">
      <w:pPr>
        <w:rPr>
          <w:rFonts w:hint="eastAsia"/>
          <w:lang w:val="en-US" w:eastAsia="zh-CN"/>
        </w:rPr>
      </w:pPr>
    </w:p>
    <w:p w14:paraId="56B2130C"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抄送：县委办，人大办，政协办。</w:t>
      </w:r>
    </w:p>
    <w:p w14:paraId="14088642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玛纳斯县人民政府办公室                  2024年12月26日印发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2750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3FED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3FED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1ADF"/>
    <w:rsid w:val="01935D0B"/>
    <w:rsid w:val="0BC96FF0"/>
    <w:rsid w:val="12DA1AE3"/>
    <w:rsid w:val="19B166B9"/>
    <w:rsid w:val="1F9A5D4F"/>
    <w:rsid w:val="2288155B"/>
    <w:rsid w:val="24467975"/>
    <w:rsid w:val="26BC673A"/>
    <w:rsid w:val="30BA7171"/>
    <w:rsid w:val="39FF7EFD"/>
    <w:rsid w:val="46B552FC"/>
    <w:rsid w:val="487675DC"/>
    <w:rsid w:val="49A168DB"/>
    <w:rsid w:val="55326F81"/>
    <w:rsid w:val="5A875423"/>
    <w:rsid w:val="62B611F1"/>
    <w:rsid w:val="6B682ECD"/>
    <w:rsid w:val="73B54BAD"/>
    <w:rsid w:val="765661D4"/>
    <w:rsid w:val="76A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line="560" w:lineRule="exact"/>
      <w:ind w:firstLine="880" w:firstLineChars="200"/>
      <w:outlineLvl w:val="1"/>
    </w:pPr>
    <w:rPr>
      <w:rFonts w:ascii="Cambria" w:hAnsi="Cambria" w:eastAsia="楷体"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0" w:leftChar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next w:val="1"/>
    <w:qFormat/>
    <w:uiPriority w:val="0"/>
    <w:pPr>
      <w:spacing w:line="400" w:lineRule="atLeast"/>
      <w:ind w:firstLine="510"/>
    </w:pPr>
    <w:rPr>
      <w:spacing w:val="20"/>
      <w:szCs w:val="20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1497</Words>
  <Characters>1543</Characters>
  <Lines>0</Lines>
  <Paragraphs>0</Paragraphs>
  <TotalTime>49</TotalTime>
  <ScaleCrop>false</ScaleCrop>
  <LinksUpToDate>false</LinksUpToDate>
  <CharactersWithSpaces>1543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2024-12-23T10:20:00Z</dcterms:created>
  <dc:creator>www33</dc:creator>
  <cp:lastModifiedBy>WPS_1692180044</cp:lastModifiedBy>
  <cp:lastPrinted>2024-12-26T04:33:52Z</cp:lastPrinted>
  <dcterms:modified xsi:type="dcterms:W3CDTF">2024-12-26T04:34:26Z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79AA7F02E6994649B85395EF4DB0EF84_12</vt:lpwstr>
  </property>
  <property fmtid="{D5CDD505-2E9C-101B-9397-08002B2CF9AE}" pid="4" name="KSOTemplateDocerSaveRecord">
    <vt:lpwstr>eyJoZGlkIjoiMDI2OTcyMWZiMjEwODk1YjdjZmYyYTcxMzg0MjdhZWMiLCJ1c2VySWQiOiIxNTIxNTEyNjA0In0=</vt:lpwstr>
  </property>
</Properties>
</file>