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319C4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玛纳斯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年基层农技推广体系改革与</w:t>
      </w:r>
    </w:p>
    <w:p w14:paraId="6DDA6693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建设任务特聘农技员招聘方案</w:t>
      </w:r>
    </w:p>
    <w:p w14:paraId="2FA880A9">
      <w:pPr>
        <w:spacing w:line="576" w:lineRule="exact"/>
      </w:pPr>
    </w:p>
    <w:p w14:paraId="5CF24F9B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昌吉州农业农村局下发的《关于做好昌吉州2025年基层农技推广体系改革与建设项目实施工作的预通知》的文件要求和农业产业发展需求，开展特聘农技员工作，为进一步创新基层农技推广服务机制，补齐科技进村入户短板，通过政府购买服务方式，从农业乡土专家、新型农业经营主体技术骨干、种植能手中招募一批特聘农技员，培养一支精准服务产业需求、解决生产技术难题，带领群众发展的农技服务力量，加快我县农业产业发展、促进乡村振兴提供人才和技术保障。</w:t>
      </w:r>
    </w:p>
    <w:p w14:paraId="741C14DB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一、特聘原则</w:t>
      </w:r>
    </w:p>
    <w:p w14:paraId="6425A4B5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公平、公正、公开、德才兼备、人岗相适、择优录取的原则。本次招募的特聘农技员为兼职人员，不纳入机关事业单位编制管理，不具有机关事业单位工作人员身份。特聘全过程公开接受社会各界及有关部门的监督。</w:t>
      </w:r>
    </w:p>
    <w:p w14:paraId="5F5609AA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二、特聘对象须具备基本条件</w:t>
      </w:r>
    </w:p>
    <w:p w14:paraId="0DC4778D">
      <w:pPr>
        <w:pStyle w:val="5"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1.拥护中国共产党的领导，遵守国家法律法规，热爱社会主义，有良好的政治素质和品行，具有为人民服务的思想，遵纪守法。</w:t>
      </w:r>
    </w:p>
    <w:p w14:paraId="59950FD4">
      <w:pPr>
        <w:pStyle w:val="5"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2.为人诚实，吃苦耐劳，身体健康，有一定的群众基础和影响力，熟悉热爱农业农村工作，乐于助人，责任心、服务意识和协调能力较强。</w:t>
      </w:r>
    </w:p>
    <w:p w14:paraId="28F6483C">
      <w:pPr>
        <w:pStyle w:val="5"/>
        <w:spacing w:beforeAutospacing="0" w:afterAutospacing="0" w:line="576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3.无违纪、违法犯罪记录，在当地有较好的群众基础和影响力</w:t>
      </w:r>
      <w:r>
        <w:rPr>
          <w:rFonts w:hint="eastAsia"/>
        </w:rPr>
        <w:t>。</w:t>
      </w:r>
    </w:p>
    <w:p w14:paraId="3E58A186">
      <w:pPr>
        <w:pStyle w:val="5"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4.具有丰富的农业生产实践经验、较高的技术专长和科技素质，符合招聘岗位要求的专业技术特长，从事农业相关行业5年以上，年龄原则上不超过55周岁。</w:t>
      </w:r>
    </w:p>
    <w:p w14:paraId="3FE1ACD8">
      <w:pPr>
        <w:pStyle w:val="5"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5.具有农民技术员以上职称、积极参与高素质农民培训、乡村振兴“头雁”培训、职业经理人培训，获得省（市）农业相关知识培训等获得证书者优先考虑。</w:t>
      </w:r>
    </w:p>
    <w:p w14:paraId="15528D1F">
      <w:pPr>
        <w:pStyle w:val="5"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6.国家机关、事业单位在编在岗人员不纳入特聘农技员招募范围。</w:t>
      </w:r>
    </w:p>
    <w:p w14:paraId="5AB84D8B">
      <w:pPr>
        <w:pStyle w:val="5"/>
        <w:spacing w:beforeAutospacing="0" w:afterAutospacing="0" w:line="576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招聘名额分配</w:t>
      </w:r>
    </w:p>
    <w:p w14:paraId="16781E2F">
      <w:pPr>
        <w:spacing w:line="576" w:lineRule="exact"/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特聘农技员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名额分配表</w:t>
      </w:r>
    </w:p>
    <w:tbl>
      <w:tblPr>
        <w:tblStyle w:val="6"/>
        <w:tblW w:w="8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231"/>
        <w:gridCol w:w="3231"/>
      </w:tblGrid>
      <w:tr w14:paraId="5FB1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特聘员指标</w:t>
            </w:r>
          </w:p>
        </w:tc>
      </w:tr>
      <w:tr w14:paraId="13D0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包家店镇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210525.30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9D5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北五岔镇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214116.30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60B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广东地乡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84655.80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3DB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旱卡子滩乡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30832.50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4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B4B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兰州湾镇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159544.95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A60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1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乐土驿镇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162851.10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5E6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凉州户镇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44623.35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3DB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六户地镇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179451.45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2742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2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玛纳斯镇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27704.40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2DD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平原林场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9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25851.30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E77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B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清水河乡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26113.65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3B2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塔西河民族乡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1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19585.80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944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县直属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31176.60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0BD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园艺场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441.90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704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1217474.40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</w:tbl>
    <w:p w14:paraId="1684CA44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四、岗位条件</w:t>
      </w:r>
    </w:p>
    <w:p w14:paraId="676A3AE1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（一）特聘农技员应具有丰富的与岗位相适应的农业生产实践经验、较高的技术专长和科技素质。能针对产业发展需求解决相关实际技术难题，善于沟通，能为当地农民群众提供有效的技术指导与咨询服务。</w:t>
      </w:r>
    </w:p>
    <w:p w14:paraId="6E5A54AB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（二）身体健康。具备正常履行岗位职责的身体条件，为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</w:t>
      </w:r>
      <w:r>
        <w:rPr>
          <w:rFonts w:hint="eastAsia" w:ascii="仿宋_GB2312" w:hAnsi="仿宋_GB2312" w:eastAsia="仿宋_GB2312" w:cs="仿宋_GB2312"/>
          <w:sz w:val="32"/>
          <w:szCs w:val="32"/>
        </w:rPr>
        <w:t>县常住人口。</w:t>
      </w:r>
    </w:p>
    <w:p w14:paraId="29794881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（三）种植规模。具备一定的开展农业技术服务的种植或养殖规模和基础设施条件，能够通过技术指导和服务带动当地农户和促进农业产业发展。</w:t>
      </w:r>
    </w:p>
    <w:p w14:paraId="70A47BA9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（四）群众基础好。在农户当中具有一定威信和影响力，具备较好的服务意识和协调能力，在服务区域有较好群众基础，得到当地农民群众、乡镇及农业部门等各方面认可。</w:t>
      </w:r>
    </w:p>
    <w:p w14:paraId="20CD2C62">
      <w:pPr>
        <w:pStyle w:val="5"/>
        <w:spacing w:beforeAutospacing="0" w:afterAutospacing="0" w:line="576" w:lineRule="exact"/>
        <w:ind w:firstLine="640" w:firstLineChars="200"/>
        <w:jc w:val="both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能够定期组织农户开展技术培训，进行政策宣传，配合县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农牧业技术推广中心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做好主推技术宣传、指导。</w:t>
      </w:r>
    </w:p>
    <w:p w14:paraId="75B7DC0E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五、以下人员不纳入招聘范围</w:t>
      </w:r>
    </w:p>
    <w:p w14:paraId="57ACC186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（一）不能坚持党的基本路线，在重大政治问题上不能与党中央保持一致。</w:t>
      </w:r>
    </w:p>
    <w:p w14:paraId="7AE48A3B">
      <w:pPr>
        <w:spacing w:line="576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符合招聘对象、报考条件或职位所需资格条件的。包括现役军人、本县行政事业单位在职职工和退休人员、在读非应届的普通高校生、受到刑事处罚、开除党籍或行政开除处分的、涉嫌违纪违法正在接受审查的、被各级机关辞退不满五年的。</w:t>
      </w:r>
    </w:p>
    <w:p w14:paraId="2AB67D7B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（三）有法律、法规规定及有关规定不得聘用的人员。</w:t>
      </w:r>
    </w:p>
    <w:p w14:paraId="0D0EE29E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六、服务任务</w:t>
      </w:r>
    </w:p>
    <w:p w14:paraId="3B82014A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（一）为我县农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</w:t>
      </w:r>
      <w:r>
        <w:rPr>
          <w:rFonts w:hint="eastAsia" w:ascii="仿宋_GB2312" w:hAnsi="仿宋_GB2312" w:eastAsia="仿宋_GB2312" w:cs="仿宋_GB2312"/>
          <w:sz w:val="32"/>
          <w:szCs w:val="32"/>
        </w:rPr>
        <w:t>业产业的发展提供技术指导与服务咨询，解决产业发展技术难题，展示示范先进适用技术。</w:t>
      </w:r>
    </w:p>
    <w:p w14:paraId="33B3F3DB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（二）为从事农业产业的农户和农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</w:t>
      </w:r>
      <w:r>
        <w:rPr>
          <w:rFonts w:hint="eastAsia" w:ascii="仿宋_GB2312" w:hAnsi="仿宋_GB2312" w:eastAsia="仿宋_GB2312" w:cs="仿宋_GB2312"/>
          <w:sz w:val="32"/>
          <w:szCs w:val="32"/>
        </w:rPr>
        <w:t>业生产经营组织提供技术帮扶。指导致富带头人和农户科学发展粮食、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棉花、畜牧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产业。对农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牧民</w:t>
      </w:r>
      <w:r>
        <w:rPr>
          <w:rFonts w:hint="eastAsia" w:ascii="仿宋_GB2312" w:hAnsi="仿宋_GB2312" w:eastAsia="仿宋_GB2312" w:cs="仿宋_GB2312"/>
          <w:sz w:val="32"/>
          <w:szCs w:val="32"/>
        </w:rPr>
        <w:t>和农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</w:t>
      </w:r>
      <w:r>
        <w:rPr>
          <w:rFonts w:hint="eastAsia" w:ascii="仿宋_GB2312" w:hAnsi="仿宋_GB2312" w:eastAsia="仿宋_GB2312" w:cs="仿宋_GB2312"/>
          <w:sz w:val="32"/>
          <w:szCs w:val="32"/>
        </w:rPr>
        <w:t>业生产经营组织进行种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</w:t>
      </w:r>
      <w:r>
        <w:rPr>
          <w:rFonts w:hint="eastAsia" w:ascii="仿宋_GB2312" w:hAnsi="仿宋_GB2312" w:eastAsia="仿宋_GB2312" w:cs="仿宋_GB2312"/>
          <w:sz w:val="32"/>
          <w:szCs w:val="32"/>
        </w:rPr>
        <w:t>植技术培训，提高其科学种植水平。</w:t>
      </w:r>
    </w:p>
    <w:p w14:paraId="7E041F51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（三）与基层农技人员合作，开展农技推广服务，共同提高专业技能和服务水平。</w:t>
      </w:r>
    </w:p>
    <w:p w14:paraId="67DF50F0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七、招聘程序</w:t>
      </w:r>
    </w:p>
    <w:p w14:paraId="4541CB55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（一）个人申请。招聘公告在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网站公开发布，公告时间不少于7个工作日。凡有意报名的，携带本人身份证、毕业证、相关证书(农民技术职称证书、高素质农民结业证书、乡村振兴“头雁”培训证书等)、1寸近期免冠彩色照片2张等材料原件和复印件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月6日至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日18:00前到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各乡镇农牧业服务中心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现场报名，并填写《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特聘农技员申请表》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报名时应仔细阅读招聘公告。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人员提供的证书、资料信息必须真实有效，否则在任何环节均可取消其应聘资格。</w:t>
      </w:r>
    </w:p>
    <w:p w14:paraId="29096AC3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（二）综合审查。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各乡镇农服中心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通过资料审核和现场面试对参聘人员进行综合审核评定，确定初步人选。</w:t>
      </w:r>
    </w:p>
    <w:p w14:paraId="41EC7EDD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（三）研究公示。初步人选确定后，报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玛纳斯县农牧业技术推广中心栽培股，经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局党组研究审定，并对拟聘人员在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县人民政府官网上进行公示，公示期3天。</w:t>
      </w:r>
    </w:p>
    <w:p w14:paraId="17173CCF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（四）签订服务合同。公示期满且无异议的。聘用为我县农技推广特聘农技员，由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农牧业技术推广中心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与其签订农技推广聘用服务合同，并颁发特聘证书。</w:t>
      </w:r>
    </w:p>
    <w:p w14:paraId="1EB80E27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八、聘用期限</w:t>
      </w:r>
    </w:p>
    <w:p w14:paraId="454080F6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服务协议期限为1年，服务期满后可根据项目需求，在下一年度优先继续聘任。</w:t>
      </w:r>
    </w:p>
    <w:p w14:paraId="01CB2320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九、服务期管理</w:t>
      </w:r>
    </w:p>
    <w:p w14:paraId="705B9588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聘农技员服务期限不超过1年。在与特聘农技员签订的服务协议和技术服务合同中，明确细化服务内容、服务对象、服务数量、服务效果等。以工作任务完成情况、服务对象的满意率、解决产业发展实际问题等为主要考核指标，采取量化打分和实地测评相结合的方式，对特聘农技员进行考核。协议期内，对考核优异的特聘农技员，服务期满后可根据项目需求优先继续聘任。考核不合格的及时解除服务协议;凡违反法律法规及因自身原因不再符合聘用条件的协议自动解除;不能按照岗位职责完成工作任务、不能遵守相关工作纪律要求、不接受招聘方的监督、考核及管理的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农牧业技术推广中心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有权解除协议，聘用合同终止，自服务协议解除之日起停发岗位补助；自愿解除合同的，提出书面申请，自申请提交之日起协议终止停发岗位补助。</w:t>
      </w:r>
    </w:p>
    <w:p w14:paraId="3E85E917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十、工资待遇</w:t>
      </w:r>
    </w:p>
    <w:p w14:paraId="09364B0A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招聘的每名特聘农技员岗位补助标准为每月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00元，按季度发放。补助费用从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基层农技推广体系改革与建设任务项目资金中列支。</w:t>
      </w:r>
    </w:p>
    <w:p w14:paraId="4AB77C28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特聘农技员不列入我县农技推广机构在编人员管理，不享受在编农技人员其他福利待遇。</w:t>
      </w:r>
    </w:p>
    <w:p w14:paraId="2D443B21">
      <w:pPr>
        <w:pStyle w:val="5"/>
        <w:spacing w:beforeAutospacing="0" w:afterAutospacing="0"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十一、严格监督</w:t>
      </w:r>
    </w:p>
    <w:p w14:paraId="681B9DC7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招聘工作做到信息公开、过程公开、结果公开，接受社会及有关部门的监督。严肃公开招聘纪律，对违反公开招聘纪律的情形，按有关规定追究责任。</w:t>
      </w:r>
    </w:p>
    <w:p w14:paraId="18E012C6"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0994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6669758</w:t>
      </w:r>
    </w:p>
    <w:p w14:paraId="15042084">
      <w:pPr>
        <w:pStyle w:val="2"/>
      </w:pPr>
    </w:p>
    <w:p w14:paraId="3932A5A6">
      <w:pPr>
        <w:spacing w:line="576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特聘农技员申请表</w:t>
      </w:r>
    </w:p>
    <w:p w14:paraId="12C19BE4">
      <w:pPr>
        <w:widowControl/>
        <w:jc w:val="left"/>
        <w:rPr>
          <w:rFonts w:ascii="仿宋_GB2312" w:hAnsi="仿宋" w:eastAsia="仿宋_GB2312" w:cs="Times New Roman"/>
          <w:spacing w:val="-20"/>
          <w:sz w:val="32"/>
          <w:szCs w:val="32"/>
        </w:rPr>
      </w:pPr>
      <w:r>
        <w:rPr>
          <w:rFonts w:ascii="仿宋_GB2312" w:hAnsi="仿宋" w:eastAsia="仿宋_GB2312" w:cs="Times New Roman"/>
          <w:spacing w:val="-20"/>
          <w:sz w:val="32"/>
          <w:szCs w:val="32"/>
        </w:rPr>
        <w:br w:type="page"/>
      </w:r>
    </w:p>
    <w:p w14:paraId="4696B18D">
      <w:pPr>
        <w:spacing w:line="560" w:lineRule="exact"/>
        <w:ind w:firstLine="2400" w:firstLineChars="600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玛纳斯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县特聘农技员申请表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92"/>
        <w:gridCol w:w="390"/>
        <w:gridCol w:w="1620"/>
        <w:gridCol w:w="2087"/>
        <w:gridCol w:w="1884"/>
      </w:tblGrid>
      <w:tr w14:paraId="2692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7" w:type="dxa"/>
          </w:tcPr>
          <w:p w14:paraId="5CA2F47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482" w:type="dxa"/>
            <w:gridSpan w:val="2"/>
          </w:tcPr>
          <w:p w14:paraId="4E753C6E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4D157D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2087" w:type="dxa"/>
          </w:tcPr>
          <w:p w14:paraId="7C8555AE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</w:tcPr>
          <w:p w14:paraId="32CC9AA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55B16883"/>
          <w:p w14:paraId="6303FC8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004A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7" w:type="dxa"/>
          </w:tcPr>
          <w:p w14:paraId="702C5587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1482" w:type="dxa"/>
            <w:gridSpan w:val="2"/>
          </w:tcPr>
          <w:p w14:paraId="00787CFC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24C30C8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2087" w:type="dxa"/>
          </w:tcPr>
          <w:p w14:paraId="5493414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</w:tcPr>
          <w:p w14:paraId="4243EEB8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</w:tr>
      <w:tr w14:paraId="104C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7" w:type="dxa"/>
          </w:tcPr>
          <w:p w14:paraId="13A0E6C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82" w:type="dxa"/>
            <w:gridSpan w:val="2"/>
          </w:tcPr>
          <w:p w14:paraId="0B04C4E6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413A062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087" w:type="dxa"/>
          </w:tcPr>
          <w:p w14:paraId="068CC683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</w:tcPr>
          <w:p w14:paraId="08084218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</w:tr>
      <w:tr w14:paraId="1B0A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7" w:type="dxa"/>
          </w:tcPr>
          <w:p w14:paraId="42C0919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482" w:type="dxa"/>
            <w:gridSpan w:val="2"/>
          </w:tcPr>
          <w:p w14:paraId="075A51C0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B187BF8">
            <w:pPr>
              <w:spacing w:line="42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毕业院校专业及时间</w:t>
            </w:r>
          </w:p>
        </w:tc>
        <w:tc>
          <w:tcPr>
            <w:tcW w:w="3971" w:type="dxa"/>
            <w:gridSpan w:val="2"/>
          </w:tcPr>
          <w:p w14:paraId="737588A0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</w:tr>
      <w:tr w14:paraId="0BCA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7" w:type="dxa"/>
          </w:tcPr>
          <w:p w14:paraId="43755DE0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482" w:type="dxa"/>
            <w:gridSpan w:val="2"/>
          </w:tcPr>
          <w:p w14:paraId="0EDF6524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DE27AAC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3971" w:type="dxa"/>
            <w:gridSpan w:val="2"/>
          </w:tcPr>
          <w:p w14:paraId="434B5657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</w:tr>
      <w:tr w14:paraId="2C0A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7" w:type="dxa"/>
          </w:tcPr>
          <w:p w14:paraId="3F0816D9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应聘岗位</w:t>
            </w:r>
          </w:p>
        </w:tc>
        <w:tc>
          <w:tcPr>
            <w:tcW w:w="7073" w:type="dxa"/>
            <w:gridSpan w:val="5"/>
          </w:tcPr>
          <w:p w14:paraId="4B80EF7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2025年度特聘农技员</w:t>
            </w:r>
          </w:p>
        </w:tc>
      </w:tr>
      <w:tr w14:paraId="5B10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260A0D12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专业特长分类</w:t>
            </w:r>
          </w:p>
        </w:tc>
        <w:tc>
          <w:tcPr>
            <w:tcW w:w="7073" w:type="dxa"/>
            <w:gridSpan w:val="5"/>
          </w:tcPr>
          <w:p w14:paraId="685E0253">
            <w:pPr>
              <w:spacing w:line="42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0C25C587">
            <w:pPr>
              <w:spacing w:line="42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粮油   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蔬菜   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水果   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中药材   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畜禽</w:t>
            </w:r>
          </w:p>
        </w:tc>
      </w:tr>
      <w:tr w14:paraId="686F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2A70AA22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人员性质</w:t>
            </w:r>
          </w:p>
        </w:tc>
        <w:tc>
          <w:tcPr>
            <w:tcW w:w="7073" w:type="dxa"/>
            <w:gridSpan w:val="5"/>
          </w:tcPr>
          <w:p w14:paraId="0B8DE24A">
            <w:pPr>
              <w:spacing w:line="42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农业乡土专家              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种养能手                        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新型经营主体技术骨干              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其他</w:t>
            </w:r>
          </w:p>
        </w:tc>
      </w:tr>
      <w:tr w14:paraId="5497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</w:tcPr>
          <w:p w14:paraId="7324C431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                    专业特长和取得的成就</w:t>
            </w:r>
          </w:p>
          <w:p w14:paraId="2EA0A3E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3B5F1BD3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3A8E0B62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62F250B3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5B5FA342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304D5F79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32FF1B1C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785A41E8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79C7AD08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0B01F28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264C3367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725406BE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42AD438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6FFC7CFD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544427A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0542663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专业特长和取得的成就</w:t>
            </w:r>
          </w:p>
        </w:tc>
        <w:tc>
          <w:tcPr>
            <w:tcW w:w="7073" w:type="dxa"/>
            <w:gridSpan w:val="5"/>
          </w:tcPr>
          <w:p w14:paraId="73B4BB50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669DCAFD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70B419C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169D0E1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3ECAE366">
            <w:pPr>
              <w:spacing w:line="560" w:lineRule="exact"/>
              <w:jc w:val="both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675A0303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0B5D85B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6BD63F3C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5DA3DEE9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216E516D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500FF09C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31EBCBF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63D28F8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0259FAC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5B08C146">
            <w:pPr>
              <w:spacing w:line="560" w:lineRule="exact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0E3A889B">
            <w:pPr>
              <w:spacing w:line="560" w:lineRule="exact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77FF902C">
            <w:pPr>
              <w:spacing w:line="560" w:lineRule="exact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1D5D708D">
            <w:pPr>
              <w:spacing w:line="560" w:lineRule="exact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696DA103">
            <w:pPr>
              <w:spacing w:line="560" w:lineRule="exact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45C9AAA6">
            <w:pPr>
              <w:spacing w:line="560" w:lineRule="exact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7A6CF681">
            <w:pPr>
              <w:spacing w:line="560" w:lineRule="exact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454AA87A">
            <w:pPr>
              <w:spacing w:line="560" w:lineRule="exact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26C00A9C">
            <w:pPr>
              <w:spacing w:line="560" w:lineRule="exact"/>
              <w:ind w:firstLine="4560" w:firstLineChars="1900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（可加附页）</w:t>
            </w:r>
          </w:p>
        </w:tc>
      </w:tr>
      <w:tr w14:paraId="7967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539" w:type="dxa"/>
            <w:gridSpan w:val="2"/>
          </w:tcPr>
          <w:p w14:paraId="37C12C47"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乡镇人民政府意见:</w:t>
            </w:r>
          </w:p>
          <w:p w14:paraId="29D0656D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5981" w:type="dxa"/>
            <w:gridSpan w:val="4"/>
          </w:tcPr>
          <w:p w14:paraId="604EB72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3E8F803F">
            <w:pPr>
              <w:spacing w:line="560" w:lineRule="exact"/>
              <w:jc w:val="both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6F380432"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盖章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：</w:t>
            </w:r>
          </w:p>
          <w:p w14:paraId="65783825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                                     年    月    日</w:t>
            </w:r>
          </w:p>
        </w:tc>
      </w:tr>
      <w:tr w14:paraId="0704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539" w:type="dxa"/>
            <w:gridSpan w:val="2"/>
          </w:tcPr>
          <w:p w14:paraId="68FC3D0E">
            <w:pPr>
              <w:spacing w:line="560" w:lineRule="exact"/>
              <w:jc w:val="center"/>
              <w:rPr>
                <w:rFonts w:hint="default" w:ascii="仿宋_GB2312" w:hAnsi="仿宋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  <w:lang w:val="en-US" w:eastAsia="zh-CN"/>
              </w:rPr>
              <w:t>农牧业技术推广中心意见：</w:t>
            </w:r>
          </w:p>
        </w:tc>
        <w:tc>
          <w:tcPr>
            <w:tcW w:w="5981" w:type="dxa"/>
            <w:gridSpan w:val="4"/>
          </w:tcPr>
          <w:p w14:paraId="38457727"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742D80BF"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</w:pPr>
          </w:p>
          <w:p w14:paraId="2C3B0D28">
            <w:pPr>
              <w:spacing w:line="560" w:lineRule="exact"/>
              <w:jc w:val="center"/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盖章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：</w:t>
            </w:r>
          </w:p>
          <w:p w14:paraId="3ADA5CAB">
            <w:pPr>
              <w:spacing w:line="560" w:lineRule="exact"/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 w14:paraId="58A8295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BEDACC-EBD7-4EAC-821D-B8D8BA126B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A22FF6-D691-43F8-A784-9E4DB36CBD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D94D86-775A-47F6-89EB-75ACDAB78EF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B6560E8-4356-44D4-AFA8-17EF7623E2F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0429FED-A5FD-4DAA-BACD-32FECE6B44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301E26A-2202-4556-8ADE-AD4CE99D654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8CFF9CAC-CF0B-4319-BEBC-31AA05E898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DBmOWZiZWYxY2NhNjZkNzYzM2UwYjNiN2UxYmUifQ=="/>
  </w:docVars>
  <w:rsids>
    <w:rsidRoot w:val="69A87925"/>
    <w:rsid w:val="00061AE8"/>
    <w:rsid w:val="0008466A"/>
    <w:rsid w:val="000B405F"/>
    <w:rsid w:val="00121188"/>
    <w:rsid w:val="00130B59"/>
    <w:rsid w:val="00137979"/>
    <w:rsid w:val="001731D3"/>
    <w:rsid w:val="002A2D58"/>
    <w:rsid w:val="002F3B6E"/>
    <w:rsid w:val="003E331C"/>
    <w:rsid w:val="003F0FFA"/>
    <w:rsid w:val="003F50AC"/>
    <w:rsid w:val="003F6131"/>
    <w:rsid w:val="00465BDF"/>
    <w:rsid w:val="004958F1"/>
    <w:rsid w:val="005038C9"/>
    <w:rsid w:val="0054095F"/>
    <w:rsid w:val="00573717"/>
    <w:rsid w:val="005E1063"/>
    <w:rsid w:val="00624665"/>
    <w:rsid w:val="006F3DCE"/>
    <w:rsid w:val="00747A35"/>
    <w:rsid w:val="0076454F"/>
    <w:rsid w:val="007B2EE3"/>
    <w:rsid w:val="00857C0D"/>
    <w:rsid w:val="008C20A2"/>
    <w:rsid w:val="008D512E"/>
    <w:rsid w:val="00907BF5"/>
    <w:rsid w:val="009D4BFE"/>
    <w:rsid w:val="00A60C81"/>
    <w:rsid w:val="00A93B06"/>
    <w:rsid w:val="00AD06CD"/>
    <w:rsid w:val="00AF4AF2"/>
    <w:rsid w:val="00B73516"/>
    <w:rsid w:val="00C040F0"/>
    <w:rsid w:val="00C10CDC"/>
    <w:rsid w:val="00C50C7F"/>
    <w:rsid w:val="00D0491B"/>
    <w:rsid w:val="00D446C4"/>
    <w:rsid w:val="00DD28FB"/>
    <w:rsid w:val="00DF77E1"/>
    <w:rsid w:val="00FB5532"/>
    <w:rsid w:val="00FD22AB"/>
    <w:rsid w:val="1E726D03"/>
    <w:rsid w:val="1EDD0384"/>
    <w:rsid w:val="4D5E4EE6"/>
    <w:rsid w:val="4E2A7D8B"/>
    <w:rsid w:val="4F9C6736"/>
    <w:rsid w:val="60324C4F"/>
    <w:rsid w:val="60BA2432"/>
    <w:rsid w:val="62DE32FF"/>
    <w:rsid w:val="63281D44"/>
    <w:rsid w:val="69A87925"/>
    <w:rsid w:val="6E1B6393"/>
    <w:rsid w:val="70B12C5F"/>
    <w:rsid w:val="71C93B84"/>
    <w:rsid w:val="720F7C2C"/>
    <w:rsid w:val="758307AC"/>
    <w:rsid w:val="78D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石棉县农业农村局</Company>
  <Pages>8</Pages>
  <Words>2655</Words>
  <Characters>2814</Characters>
  <Lines>19</Lines>
  <Paragraphs>5</Paragraphs>
  <TotalTime>2</TotalTime>
  <ScaleCrop>false</ScaleCrop>
  <LinksUpToDate>false</LinksUpToDate>
  <CharactersWithSpaces>2990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2023-10-24T00:58:00Z</dcterms:created>
  <dc:creator>雨落敲窗</dc:creator>
  <cp:lastModifiedBy>王海霞</cp:lastModifiedBy>
  <cp:lastPrinted>2023-10-27T02:58:00Z</cp:lastPrinted>
  <dcterms:modified xsi:type="dcterms:W3CDTF">2025-04-22T07:53:06Z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EDEAEF684A9D4CD9BA3E8D3EBA7E9195_13</vt:lpwstr>
  </property>
  <property fmtid="{D5CDD505-2E9C-101B-9397-08002B2CF9AE}" pid="4" name="KSOTemplateDocerSaveRecord">
    <vt:lpwstr>eyJoZGlkIjoiZmM0YTE0Yjc4YjIwZGMyMjljOGMzYWJkNGRiZThjNzEiLCJ1c2VySWQiOiIyOTU0NzQyODcifQ==</vt:lpwstr>
  </property>
</Properties>
</file>