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玛政规〔2024〕1号</w:t>
      </w:r>
    </w:p>
    <w:p>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b w:val="0"/>
          <w:bCs/>
          <w:color w:val="auto"/>
          <w:spacing w:val="0"/>
          <w:sz w:val="44"/>
          <w:szCs w:val="44"/>
          <w:lang w:val="en-US" w:eastAsia="zh-CN"/>
        </w:rPr>
      </w:pPr>
    </w:p>
    <w:p>
      <w:pPr>
        <w:keepNext w:val="0"/>
        <w:keepLines w:val="0"/>
        <w:pageBreakBefore w:val="0"/>
        <w:widowControl w:val="0"/>
        <w:kinsoku/>
        <w:wordWrap/>
        <w:overflowPunct/>
        <w:topLinePunct w:val="0"/>
        <w:autoSpaceDN/>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玛纳斯县人民政府</w:t>
      </w:r>
    </w:p>
    <w:p>
      <w:pPr>
        <w:keepNext w:val="0"/>
        <w:keepLines w:val="0"/>
        <w:pageBreakBefore w:val="0"/>
        <w:widowControl w:val="0"/>
        <w:kinsoku/>
        <w:wordWrap/>
        <w:overflowPunct/>
        <w:topLinePunct w:val="0"/>
        <w:autoSpaceDN/>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关于重新</w:t>
      </w:r>
      <w:r>
        <w:rPr>
          <w:rFonts w:hint="eastAsia" w:ascii="方正小标宋简体" w:hAnsi="方正小标宋简体" w:eastAsia="方正小标宋简体" w:cs="方正小标宋简体"/>
          <w:sz w:val="44"/>
          <w:szCs w:val="44"/>
        </w:rPr>
        <w:t>公布</w:t>
      </w:r>
      <w:r>
        <w:rPr>
          <w:rFonts w:hint="eastAsia" w:ascii="方正小标宋简体" w:hAnsi="方正小标宋简体" w:eastAsia="方正小标宋简体" w:cs="方正小标宋简体"/>
          <w:sz w:val="44"/>
          <w:szCs w:val="44"/>
          <w:lang w:eastAsia="zh-CN"/>
        </w:rPr>
        <w:t>实施玛纳斯县</w:t>
      </w:r>
      <w:r>
        <w:rPr>
          <w:rFonts w:hint="eastAsia" w:ascii="方正小标宋简体" w:hAnsi="方正小标宋简体" w:eastAsia="方正小标宋简体" w:cs="方正小标宋简体"/>
          <w:sz w:val="44"/>
          <w:szCs w:val="44"/>
        </w:rPr>
        <w:t>征收农用地区片</w:t>
      </w:r>
    </w:p>
    <w:p>
      <w:pPr>
        <w:keepNext w:val="0"/>
        <w:keepLines w:val="0"/>
        <w:pageBreakBefore w:val="0"/>
        <w:widowControl w:val="0"/>
        <w:kinsoku/>
        <w:wordWrap/>
        <w:overflowPunct/>
        <w:topLinePunct w:val="0"/>
        <w:autoSpaceDN/>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综合地价</w:t>
      </w:r>
      <w:r>
        <w:rPr>
          <w:rFonts w:hint="eastAsia" w:ascii="方正小标宋简体" w:hAnsi="方正小标宋简体" w:eastAsia="方正小标宋简体" w:cs="方正小标宋简体"/>
          <w:sz w:val="44"/>
          <w:szCs w:val="44"/>
          <w:lang w:eastAsia="zh-CN"/>
        </w:rPr>
        <w:t>的通知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81"/>
          <w:tab w:val="center" w:pos="4213"/>
        </w:tabs>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rPr>
          <w:rFonts w:hint="eastAsia" w:ascii="方正小标宋简体" w:hAnsi="方正小标宋简体" w:eastAsia="方正小标宋简体" w:cs="方正小标宋简体"/>
          <w:b w:val="0"/>
          <w:bCs/>
          <w:i w:val="0"/>
          <w:caps w:val="0"/>
          <w:color w:val="333333"/>
          <w:spacing w:val="0"/>
          <w:sz w:val="36"/>
          <w:szCs w:val="36"/>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81"/>
          <w:tab w:val="center" w:pos="4213"/>
        </w:tabs>
        <w:kinsoku/>
        <w:wordWrap/>
        <w:overflowPunct/>
        <w:topLinePunct w:val="0"/>
        <w:autoSpaceDE/>
        <w:autoSpaceDN/>
        <w:bidi w:val="0"/>
        <w:adjustRightInd/>
        <w:snapToGrid/>
        <w:spacing w:before="0" w:beforeAutospacing="0" w:after="0" w:afterAutospacing="0" w:line="560" w:lineRule="exact"/>
        <w:ind w:left="0" w:leftChars="0" w:right="0" w:rightChars="0" w:firstLine="0"/>
        <w:jc w:val="left"/>
        <w:textAlignment w:val="auto"/>
        <w:rPr>
          <w:rFonts w:hint="eastAsia" w:ascii="仿宋_GB2312" w:hAnsi="仿宋_GB2312" w:eastAsia="仿宋_GB2312" w:cs="仿宋_GB2312"/>
          <w:b w:val="0"/>
          <w:i w:val="0"/>
          <w:caps w:val="0"/>
          <w:color w:val="333333"/>
          <w:spacing w:val="8"/>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8"/>
          <w:kern w:val="0"/>
          <w:sz w:val="32"/>
          <w:szCs w:val="32"/>
          <w:shd w:val="clear" w:fill="FFFFFF"/>
          <w:lang w:val="en-US" w:eastAsia="zh-CN" w:bidi="ar"/>
        </w:rPr>
        <w:t>平原林场，工业园区管委会，湿地公园管理局，各乡镇人民政府，县人民政府各部门，各企事业单位：</w:t>
      </w:r>
    </w:p>
    <w:p>
      <w:pPr>
        <w:pStyle w:val="4"/>
        <w:keepNext w:val="0"/>
        <w:keepLines w:val="0"/>
        <w:pageBreakBefore w:val="0"/>
        <w:widowControl w:val="0"/>
        <w:kinsoku/>
        <w:wordWrap/>
        <w:overflowPunct/>
        <w:topLinePunct w:val="0"/>
        <w:autoSpaceDN/>
        <w:bidi w:val="0"/>
        <w:spacing w:line="560" w:lineRule="exact"/>
        <w:ind w:left="0" w:leftChars="0" w:right="0" w:rightChars="0" w:firstLine="640"/>
        <w:textAlignment w:val="auto"/>
        <w:rPr>
          <w:rFonts w:hint="eastAsia" w:ascii="仿宋_GB2312" w:hAnsi="仿宋_GB2312" w:eastAsia="仿宋_GB2312" w:cs="仿宋_GB2312"/>
          <w:b w:val="0"/>
          <w:i w:val="0"/>
          <w:caps w:val="0"/>
          <w:color w:val="333333"/>
          <w:spacing w:val="8"/>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8"/>
          <w:kern w:val="0"/>
          <w:sz w:val="32"/>
          <w:szCs w:val="32"/>
          <w:shd w:val="clear" w:fill="FFFFFF"/>
          <w:lang w:val="en-US" w:eastAsia="zh-CN" w:bidi="ar"/>
        </w:rPr>
        <w:t>为切实做好我县区片综合地价公布实施工作，依法保障被征地农民合法权益，根据《中华人民共和国土地管理法》和自治区自然资源厅《关于重新公布自治区征收农用地区片综合地价标准的通知》（新自然资规〔2024〕1号）等有关规定，玛纳斯县制定的征收农用地区片综合地价（以下简称“区片综合地价”）已经自治区人民政府同意。现就公布实施有关事项通知如下：</w:t>
      </w:r>
    </w:p>
    <w:p>
      <w:pPr>
        <w:pStyle w:val="4"/>
        <w:keepNext w:val="0"/>
        <w:keepLines w:val="0"/>
        <w:pageBreakBefore w:val="0"/>
        <w:widowControl w:val="0"/>
        <w:kinsoku/>
        <w:wordWrap/>
        <w:overflowPunct/>
        <w:topLinePunct w:val="0"/>
        <w:autoSpaceDN/>
        <w:bidi w:val="0"/>
        <w:spacing w:line="560" w:lineRule="exact"/>
        <w:ind w:left="0" w:leftChars="0" w:right="0" w:rightChars="0" w:firstLine="640"/>
        <w:jc w:val="both"/>
        <w:textAlignment w:val="auto"/>
        <w:rPr>
          <w:rFonts w:hint="eastAsia" w:ascii="仿宋_GB2312" w:hAnsi="仿宋_GB2312" w:eastAsia="仿宋_GB2312" w:cs="仿宋_GB2312"/>
          <w:b w:val="0"/>
          <w:i w:val="0"/>
          <w:caps w:val="0"/>
          <w:color w:val="333333"/>
          <w:spacing w:val="8"/>
          <w:kern w:val="0"/>
          <w:sz w:val="32"/>
          <w:szCs w:val="32"/>
          <w:shd w:val="clear" w:fill="FFFFFF"/>
          <w:lang w:val="en-US" w:eastAsia="zh-CN" w:bidi="ar"/>
        </w:rPr>
      </w:pPr>
      <w:r>
        <w:rPr>
          <w:rFonts w:hint="eastAsia" w:ascii="黑体" w:hAnsi="黑体" w:eastAsia="黑体" w:cs="黑体"/>
          <w:b w:val="0"/>
          <w:i w:val="0"/>
          <w:caps w:val="0"/>
          <w:color w:val="333333"/>
          <w:spacing w:val="8"/>
          <w:kern w:val="0"/>
          <w:sz w:val="32"/>
          <w:szCs w:val="32"/>
          <w:shd w:val="clear" w:fill="FFFFFF"/>
          <w:lang w:val="en-US" w:eastAsia="zh-CN" w:bidi="ar"/>
        </w:rPr>
        <w:t>一、实施时间。</w:t>
      </w:r>
      <w:r>
        <w:rPr>
          <w:rFonts w:hint="eastAsia" w:ascii="仿宋_GB2312" w:hAnsi="仿宋_GB2312" w:eastAsia="仿宋_GB2312" w:cs="仿宋_GB2312"/>
          <w:b w:val="0"/>
          <w:i w:val="0"/>
          <w:caps w:val="0"/>
          <w:color w:val="333333"/>
          <w:spacing w:val="8"/>
          <w:kern w:val="0"/>
          <w:sz w:val="32"/>
          <w:szCs w:val="32"/>
          <w:shd w:val="clear" w:fill="FFFFFF"/>
          <w:lang w:val="en-US" w:eastAsia="zh-CN" w:bidi="ar"/>
        </w:rPr>
        <w:t>本次公布的玛纳斯县区片综合地价自印发之日起施行。今后我县根据经济社会发展情况，依法至少每三年调整或者重新公布一次区片综合地价标准。</w:t>
      </w:r>
    </w:p>
    <w:p>
      <w:pPr>
        <w:pStyle w:val="4"/>
        <w:keepNext w:val="0"/>
        <w:keepLines w:val="0"/>
        <w:pageBreakBefore w:val="0"/>
        <w:widowControl w:val="0"/>
        <w:kinsoku/>
        <w:wordWrap/>
        <w:overflowPunct/>
        <w:topLinePunct w:val="0"/>
        <w:autoSpaceDN/>
        <w:bidi w:val="0"/>
        <w:spacing w:line="560" w:lineRule="exact"/>
        <w:ind w:left="0" w:leftChars="0" w:right="0" w:rightChars="0" w:firstLine="672" w:firstLineChars="200"/>
        <w:jc w:val="both"/>
        <w:textAlignment w:val="auto"/>
        <w:rPr>
          <w:rFonts w:hint="eastAsia" w:ascii="仿宋_GB2312" w:hAnsi="仿宋_GB2312" w:eastAsia="仿宋_GB2312" w:cs="仿宋_GB2312"/>
          <w:b w:val="0"/>
          <w:i w:val="0"/>
          <w:caps w:val="0"/>
          <w:color w:val="333333"/>
          <w:spacing w:val="8"/>
          <w:kern w:val="0"/>
          <w:sz w:val="32"/>
          <w:szCs w:val="32"/>
          <w:shd w:val="clear" w:fill="FFFFFF"/>
          <w:lang w:val="en-US" w:eastAsia="zh-CN" w:bidi="ar"/>
        </w:rPr>
      </w:pPr>
      <w:r>
        <w:rPr>
          <w:rFonts w:hint="eastAsia" w:ascii="黑体" w:hAnsi="黑体" w:eastAsia="黑体" w:cs="黑体"/>
          <w:b w:val="0"/>
          <w:i w:val="0"/>
          <w:caps w:val="0"/>
          <w:color w:val="333333"/>
          <w:spacing w:val="8"/>
          <w:kern w:val="0"/>
          <w:sz w:val="32"/>
          <w:szCs w:val="32"/>
          <w:shd w:val="clear" w:fill="FFFFFF"/>
          <w:lang w:val="en-US" w:eastAsia="zh-CN" w:bidi="ar"/>
        </w:rPr>
        <w:t>二、征收补偿标准。</w:t>
      </w:r>
      <w:r>
        <w:rPr>
          <w:rFonts w:hint="eastAsia" w:ascii="仿宋_GB2312" w:hAnsi="仿宋_GB2312" w:eastAsia="仿宋_GB2312" w:cs="仿宋_GB2312"/>
          <w:b w:val="0"/>
          <w:i w:val="0"/>
          <w:caps w:val="0"/>
          <w:color w:val="333333"/>
          <w:spacing w:val="8"/>
          <w:kern w:val="0"/>
          <w:sz w:val="32"/>
          <w:szCs w:val="32"/>
          <w:shd w:val="clear" w:fill="FFFFFF"/>
          <w:lang w:val="en-US" w:eastAsia="zh-CN" w:bidi="ar"/>
        </w:rPr>
        <w:t>区片综合地价是征收农民集体农用地的土地补偿费和安置补助费标准,结合我县实际情况，土地补偿费和安置补助费两者比例为27%∶73%，不包括被征地农民社会保障费用、地上附着物和青苗等的补偿费用。我县区片综合地价公布后要严格执行，不得降低，原则上同地同价，不因征地目的、土地用途和种植作物的不同而有差异。征收水浇地的补偿标准为所在区片综合地价的1倍；征收水田的补偿标准为所在区片综合地价的1倍；征收园地的补偿标准为所在区片综合地价的1倍；征收林地的补偿标准为所在区片综合地价的1倍;征收天然牧草地的补偿标准为所在区片综合地价的0.1倍；征收沼泽草地的补偿标准为所在区片综合地价的0.1倍；征收人工牧草地的补偿标准为所在区片综合地价的0.5倍；征收其他草地的补偿标准为所在区片综合地价的0.1倍；征收旱地的补偿标准为所在区片综合地价的0.55倍；征收其他农用地的补偿标准为所在区片综合地价的0.27倍。依法收回国有农用地的补偿费用，参照本标准执行。</w:t>
      </w:r>
    </w:p>
    <w:p>
      <w:pPr>
        <w:pStyle w:val="4"/>
        <w:keepNext w:val="0"/>
        <w:keepLines w:val="0"/>
        <w:pageBreakBefore w:val="0"/>
        <w:widowControl w:val="0"/>
        <w:kinsoku/>
        <w:wordWrap/>
        <w:overflowPunct/>
        <w:topLinePunct w:val="0"/>
        <w:autoSpaceDN/>
        <w:bidi w:val="0"/>
        <w:spacing w:line="560" w:lineRule="exact"/>
        <w:ind w:left="0" w:leftChars="0" w:right="0" w:rightChars="0" w:firstLine="640"/>
        <w:jc w:val="both"/>
        <w:textAlignment w:val="auto"/>
        <w:rPr>
          <w:rFonts w:hint="eastAsia" w:ascii="仿宋_GB2312" w:hAnsi="仿宋_GB2312" w:eastAsia="仿宋_GB2312" w:cs="仿宋_GB2312"/>
          <w:b w:val="0"/>
          <w:i w:val="0"/>
          <w:caps w:val="0"/>
          <w:color w:val="333333"/>
          <w:spacing w:val="8"/>
          <w:kern w:val="0"/>
          <w:sz w:val="32"/>
          <w:szCs w:val="32"/>
          <w:shd w:val="clear" w:fill="FFFFFF"/>
          <w:lang w:val="en-US" w:eastAsia="zh-CN" w:bidi="ar"/>
        </w:rPr>
      </w:pPr>
      <w:r>
        <w:rPr>
          <w:rFonts w:hint="eastAsia" w:ascii="黑体" w:hAnsi="黑体" w:eastAsia="黑体" w:cs="黑体"/>
          <w:b w:val="0"/>
          <w:i w:val="0"/>
          <w:caps w:val="0"/>
          <w:color w:val="333333"/>
          <w:spacing w:val="8"/>
          <w:kern w:val="0"/>
          <w:sz w:val="32"/>
          <w:szCs w:val="32"/>
          <w:shd w:val="clear" w:fill="FFFFFF"/>
          <w:lang w:val="en-US" w:eastAsia="zh-CN" w:bidi="ar"/>
        </w:rPr>
        <w:t>三、工作要求。</w:t>
      </w:r>
      <w:r>
        <w:rPr>
          <w:rFonts w:hint="eastAsia" w:ascii="仿宋_GB2312" w:hAnsi="仿宋_GB2312" w:eastAsia="仿宋_GB2312" w:cs="仿宋_GB2312"/>
          <w:b w:val="0"/>
          <w:i w:val="0"/>
          <w:caps w:val="0"/>
          <w:color w:val="333333"/>
          <w:spacing w:val="8"/>
          <w:kern w:val="0"/>
          <w:sz w:val="32"/>
          <w:szCs w:val="32"/>
          <w:shd w:val="clear" w:fill="FFFFFF"/>
          <w:lang w:val="en-US" w:eastAsia="zh-CN" w:bidi="ar"/>
        </w:rPr>
        <w:t>各乡镇人民政府要高度重视，精心组织，严格依法履行征地程序，加大政策解读宣传，建立纠纷处理与协调机制，加强资金监管，严禁截留、拖欠、挪用征地补偿费用，确保我县区片综合地价顺利实施。县发改委、财政局、民政局、人社局、自然资源局、农业农村局、市场监督管理局、统计局、林草行政综合执法大队等部门要加强对区片综合地价的实施监管，及时协调解决实施中出现的问题。</w:t>
      </w:r>
    </w:p>
    <w:p>
      <w:pPr>
        <w:pStyle w:val="4"/>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ascii="仿宋_GB2312" w:hAnsi="仿宋_GB2312" w:eastAsia="仿宋_GB2312" w:cs="仿宋_GB2312"/>
          <w:b w:val="0"/>
          <w:i w:val="0"/>
          <w:caps w:val="0"/>
          <w:color w:val="333333"/>
          <w:spacing w:val="8"/>
          <w:kern w:val="0"/>
          <w:sz w:val="32"/>
          <w:szCs w:val="32"/>
          <w:shd w:val="clear" w:fill="FFFFFF"/>
          <w:lang w:val="en-US" w:eastAsia="zh-CN" w:bidi="ar"/>
        </w:rPr>
      </w:pPr>
    </w:p>
    <w:p>
      <w:pPr>
        <w:pStyle w:val="4"/>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ascii="仿宋_GB2312" w:hAnsi="仿宋_GB2312" w:eastAsia="仿宋_GB2312" w:cs="仿宋_GB2312"/>
          <w:b w:val="0"/>
          <w:i w:val="0"/>
          <w:caps w:val="0"/>
          <w:color w:val="333333"/>
          <w:spacing w:val="8"/>
          <w:kern w:val="0"/>
          <w:sz w:val="32"/>
          <w:szCs w:val="32"/>
          <w:shd w:val="clear" w:fill="FFFFFF"/>
          <w:lang w:val="en-US" w:eastAsia="zh-CN" w:bidi="ar"/>
        </w:rPr>
      </w:pPr>
    </w:p>
    <w:p>
      <w:pPr>
        <w:pStyle w:val="4"/>
        <w:keepNext w:val="0"/>
        <w:keepLines w:val="0"/>
        <w:pageBreakBefore w:val="0"/>
        <w:widowControl w:val="0"/>
        <w:kinsoku/>
        <w:wordWrap/>
        <w:overflowPunct/>
        <w:topLinePunct w:val="0"/>
        <w:autoSpaceDN/>
        <w:bidi w:val="0"/>
        <w:spacing w:line="560" w:lineRule="exact"/>
        <w:ind w:left="0" w:leftChars="0" w:right="0" w:rightChars="0" w:firstLine="640"/>
        <w:jc w:val="both"/>
        <w:textAlignment w:val="auto"/>
        <w:rPr>
          <w:rFonts w:hint="eastAsia" w:ascii="仿宋_GB2312" w:hAnsi="仿宋_GB2312" w:eastAsia="仿宋_GB2312" w:cs="仿宋_GB2312"/>
          <w:b w:val="0"/>
          <w:i w:val="0"/>
          <w:caps w:val="0"/>
          <w:color w:val="333333"/>
          <w:spacing w:val="8"/>
          <w:kern w:val="0"/>
          <w:sz w:val="32"/>
          <w:szCs w:val="32"/>
          <w:shd w:val="clear" w:fill="FFFFFF"/>
          <w:lang w:val="en-US" w:eastAsia="zh-CN" w:bidi="ar"/>
        </w:rPr>
      </w:pPr>
      <w:r>
        <w:rPr>
          <w:rFonts w:hint="eastAsia" w:ascii="仿宋_GB2312" w:hAnsi="仿宋_GB2312" w:eastAsia="仿宋_GB2312" w:cs="仿宋_GB2312"/>
          <w:b w:val="0"/>
          <w:i w:val="0"/>
          <w:caps w:val="0"/>
          <w:color w:val="333333"/>
          <w:spacing w:val="8"/>
          <w:kern w:val="0"/>
          <w:sz w:val="32"/>
          <w:szCs w:val="32"/>
          <w:shd w:val="clear" w:fill="FFFFFF"/>
          <w:lang w:val="en-US" w:eastAsia="zh-CN" w:bidi="ar"/>
        </w:rPr>
        <w:t>附件：玛纳斯县征收农用地区综合地价表</w:t>
      </w: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ascii="仿宋_GB2312" w:hAnsi="仿宋_GB2312" w:eastAsia="仿宋_GB2312" w:cs="仿宋_GB2312"/>
          <w:b w:val="0"/>
          <w:bCs/>
          <w:i w:val="0"/>
          <w:caps w:val="0"/>
          <w:color w:val="333333"/>
          <w:spacing w:val="8"/>
          <w:sz w:val="32"/>
          <w:szCs w:val="32"/>
          <w:shd w:val="clear" w:fill="FFFFFF"/>
          <w:lang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ascii="仿宋_GB2312" w:hAnsi="仿宋_GB2312" w:eastAsia="仿宋_GB2312" w:cs="仿宋_GB2312"/>
          <w:b w:val="0"/>
          <w:bCs/>
          <w:i w:val="0"/>
          <w:caps w:val="0"/>
          <w:color w:val="333333"/>
          <w:spacing w:val="8"/>
          <w:sz w:val="32"/>
          <w:szCs w:val="32"/>
          <w:shd w:val="clear" w:fill="FFFFFF"/>
          <w:lang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ascii="仿宋_GB2312" w:hAnsi="仿宋_GB2312" w:eastAsia="仿宋_GB2312" w:cs="仿宋_GB2312"/>
          <w:b w:val="0"/>
          <w:bCs/>
          <w:i w:val="0"/>
          <w:caps w:val="0"/>
          <w:color w:val="333333"/>
          <w:spacing w:val="8"/>
          <w:sz w:val="32"/>
          <w:szCs w:val="32"/>
          <w:shd w:val="clear" w:fill="FFFFFF"/>
          <w:lang w:val="en-US" w:eastAsia="zh-CN"/>
        </w:rPr>
      </w:pPr>
      <w:r>
        <w:rPr>
          <w:rFonts w:hint="eastAsia" w:ascii="仿宋_GB2312" w:hAnsi="仿宋_GB2312" w:eastAsia="仿宋_GB2312" w:cs="仿宋_GB2312"/>
          <w:b w:val="0"/>
          <w:bCs/>
          <w:i w:val="0"/>
          <w:caps w:val="0"/>
          <w:color w:val="333333"/>
          <w:spacing w:val="8"/>
          <w:sz w:val="32"/>
          <w:szCs w:val="32"/>
          <w:shd w:val="clear" w:fill="FFFFFF"/>
          <w:lang w:val="en-US" w:eastAsia="zh-CN"/>
        </w:rPr>
        <w:t xml:space="preserve">                            玛纳斯县人民政府</w:t>
      </w: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ascii="仿宋_GB2312" w:hAnsi="仿宋_GB2312" w:eastAsia="仿宋_GB2312" w:cs="仿宋_GB2312"/>
          <w:b w:val="0"/>
          <w:bCs/>
          <w:i w:val="0"/>
          <w:caps w:val="0"/>
          <w:color w:val="333333"/>
          <w:spacing w:val="8"/>
          <w:sz w:val="32"/>
          <w:szCs w:val="32"/>
          <w:shd w:val="clear" w:fill="FFFFFF"/>
          <w:lang w:val="en-US" w:eastAsia="zh-CN"/>
        </w:rPr>
      </w:pPr>
      <w:r>
        <w:rPr>
          <w:rFonts w:hint="eastAsia" w:ascii="仿宋_GB2312" w:hAnsi="仿宋_GB2312" w:eastAsia="仿宋_GB2312" w:cs="仿宋_GB2312"/>
          <w:b w:val="0"/>
          <w:bCs/>
          <w:i w:val="0"/>
          <w:caps w:val="0"/>
          <w:color w:val="333333"/>
          <w:spacing w:val="8"/>
          <w:sz w:val="32"/>
          <w:szCs w:val="32"/>
          <w:shd w:val="clear" w:fill="FFFFFF"/>
          <w:lang w:val="en-US" w:eastAsia="zh-CN"/>
        </w:rPr>
        <w:t xml:space="preserve">                            2024年3月25日</w:t>
      </w: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ascii="仿宋_GB2312" w:hAnsi="仿宋_GB2312" w:eastAsia="仿宋_GB2312" w:cs="仿宋_GB2312"/>
          <w:b w:val="0"/>
          <w:bCs/>
          <w:i w:val="0"/>
          <w:caps w:val="0"/>
          <w:color w:val="333333"/>
          <w:spacing w:val="8"/>
          <w:sz w:val="32"/>
          <w:szCs w:val="32"/>
          <w:shd w:val="clear" w:fill="FFFFFF"/>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default"/>
          <w:lang w:val="en-US" w:eastAsia="zh-CN"/>
        </w:rPr>
        <w:sectPr>
          <w:footerReference r:id="rId3" w:type="default"/>
          <w:pgSz w:w="11906" w:h="16838"/>
          <w:pgMar w:top="1417" w:right="1417" w:bottom="1417" w:left="1417" w:header="851" w:footer="992"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spacing w:line="56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pStyle w:val="2"/>
        <w:keepNext w:val="0"/>
        <w:keepLines w:val="0"/>
        <w:pageBreakBefore w:val="0"/>
        <w:widowControl w:val="0"/>
        <w:kinsoku/>
        <w:wordWrap/>
        <w:overflowPunct/>
        <w:topLinePunct w:val="0"/>
        <w:autoSpaceDN/>
        <w:bidi w:val="0"/>
        <w:spacing w:line="560" w:lineRule="exact"/>
        <w:ind w:left="0" w:leftChars="0" w:right="0" w:rightChars="0"/>
        <w:textAlignment w:val="auto"/>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leftChars="0" w:right="0" w:rightChars="0" w:firstLine="280" w:firstLineChars="1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抄送：县委，人大，政协。</w:t>
      </w:r>
    </w:p>
    <w:p>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560" w:lineRule="exact"/>
        <w:ind w:left="0" w:leftChars="0" w:right="0" w:rightChars="0" w:firstLine="280" w:firstLineChars="100"/>
        <w:jc w:val="both"/>
        <w:textAlignment w:val="auto"/>
        <w:outlineLvl w:val="9"/>
        <w:rPr>
          <w:rFonts w:hint="default"/>
          <w:lang w:val="en-US" w:eastAsia="zh-CN"/>
        </w:rPr>
      </w:pPr>
      <w:r>
        <w:rPr>
          <w:rFonts w:hint="eastAsia" w:ascii="仿宋_GB2312" w:hAnsi="仿宋_GB2312" w:eastAsia="仿宋_GB2312" w:cs="仿宋_GB2312"/>
          <w:color w:val="auto"/>
          <w:spacing w:val="0"/>
          <w:w w:val="100"/>
          <w:sz w:val="28"/>
          <w:szCs w:val="28"/>
          <w:lang w:val="en-US" w:eastAsia="zh-CN"/>
        </w:rPr>
        <w:t xml:space="preserve">玛纳斯县人民政府办公室                 </w:t>
      </w:r>
      <w:r>
        <w:rPr>
          <w:rFonts w:hint="eastAsia" w:ascii="仿宋_GB2312" w:hAnsi="仿宋_GB2312" w:eastAsia="仿宋_GB2312" w:cs="仿宋_GB2312"/>
          <w:color w:val="auto"/>
          <w:spacing w:val="0"/>
          <w:sz w:val="28"/>
          <w:szCs w:val="28"/>
          <w:lang w:val="en-US" w:eastAsia="zh-CN"/>
        </w:rPr>
        <w:t xml:space="preserve">    2024年3月25日印发</w:t>
      </w:r>
    </w:p>
    <w:sectPr>
      <w:pgSz w:w="11906" w:h="16838"/>
      <w:pgMar w:top="1417" w:right="1417" w:bottom="1417" w:left="1417"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fornian FB">
    <w:panose1 w:val="0207040306080B030204"/>
    <w:charset w:val="00"/>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中國龍豪行書">
    <w:panose1 w:val="0201060900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书体坊硬笔行书3500">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叶根友毛笔行书简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中行書">
    <w:panose1 w:val="02010609010101010101"/>
    <w:charset w:val="00"/>
    <w:family w:val="auto"/>
    <w:pitch w:val="default"/>
    <w:sig w:usb0="00000000" w:usb1="00000000" w:usb2="00000000" w:usb3="00000000" w:csb0="00000000" w:csb1="00000000"/>
  </w:font>
  <w:font w:name="德彪钢笔行书字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書法家行書體">
    <w:panose1 w:val="0201060900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鼎简行书">
    <w:panose1 w:val="02010609000101010101"/>
    <w:charset w:val="00"/>
    <w:family w:val="auto"/>
    <w:pitch w:val="default"/>
    <w:sig w:usb0="00000000" w:usb1="00000000" w:usb2="00000000" w:usb3="00000000" w:csb0="00000000" w:csb1="00000000"/>
  </w:font>
  <w:font w:name="汉仪范笑歌隶书简">
    <w:panose1 w:val="02010609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超世纪粗行书">
    <w:panose1 w:val="02000000000000000000"/>
    <w:charset w:val="88"/>
    <w:family w:val="auto"/>
    <w:pitch w:val="default"/>
    <w:sig w:usb0="00000003" w:usb1="28880000" w:usb2="00000006" w:usb3="00000000" w:csb0="0010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Tahoma">
    <w:panose1 w:val="020B0604030504040204"/>
    <w:charset w:val="00"/>
    <w:family w:val="swiss"/>
    <w:pitch w:val="default"/>
    <w:sig w:usb0="E1002EFF" w:usb1="C000605B" w:usb2="00000029" w:usb3="00000000" w:csb0="200101FF" w:csb1="20280000"/>
  </w:font>
  <w:font w:name="中國龍海行書">
    <w:panose1 w:val="02010609000101010101"/>
    <w:charset w:val="00"/>
    <w:family w:val="auto"/>
    <w:pitch w:val="default"/>
    <w:sig w:usb0="00000000" w:usb1="00000000" w:usb2="00000000" w:usb3="00000000" w:csb0="00000000" w:csb1="00000000"/>
  </w:font>
  <w:font w:name="Brush Script Std">
    <w:panose1 w:val="03060802040607070404"/>
    <w:charset w:val="00"/>
    <w:family w:val="auto"/>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汉鼎繁行书">
    <w:panose1 w:val="02010609000101010101"/>
    <w:charset w:val="00"/>
    <w:family w:val="auto"/>
    <w:pitch w:val="default"/>
    <w:sig w:usb0="00000000" w:usb1="00000000" w:usb2="00000000" w:usb3="00000000" w:csb0="00000000" w:csb1="00000000"/>
  </w:font>
  <w:font w:name="经典繁行书">
    <w:panose1 w:val="02010609010101010101"/>
    <w:charset w:val="86"/>
    <w:family w:val="auto"/>
    <w:pitch w:val="default"/>
    <w:sig w:usb0="A1007AEF" w:usb1="F9DF7CFB" w:usb2="0000001E" w:usb3="00000000" w:csb0="20040000" w:csb1="00000000"/>
  </w:font>
  <w:font w:name="苏新诗鼠标行书简">
    <w:panose1 w:val="02010800040101010101"/>
    <w:charset w:val="86"/>
    <w:family w:val="auto"/>
    <w:pitch w:val="default"/>
    <w:sig w:usb0="00000001" w:usb1="080F0000" w:usb2="00000000" w:usb3="00000000" w:csb0="00040000" w:csb1="00000000"/>
  </w:font>
  <w:font w:name="金梅草行書">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21BD5"/>
    <w:rsid w:val="06E318AC"/>
    <w:rsid w:val="093B38EA"/>
    <w:rsid w:val="17303DD2"/>
    <w:rsid w:val="18A515CD"/>
    <w:rsid w:val="23B859DE"/>
    <w:rsid w:val="27ED2600"/>
    <w:rsid w:val="37CD4E17"/>
    <w:rsid w:val="3CC246E8"/>
    <w:rsid w:val="462C7B6A"/>
    <w:rsid w:val="48E47653"/>
    <w:rsid w:val="4C475061"/>
    <w:rsid w:val="4DD715E9"/>
    <w:rsid w:val="616871D1"/>
    <w:rsid w:val="6AEE1BEB"/>
    <w:rsid w:val="6C58546D"/>
    <w:rsid w:val="6CF867CD"/>
    <w:rsid w:val="72FF6DEA"/>
    <w:rsid w:val="73311B57"/>
    <w:rsid w:val="73810A89"/>
    <w:rsid w:val="74762FC9"/>
    <w:rsid w:val="78F8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next w:val="1"/>
    <w:qFormat/>
    <w:uiPriority w:val="0"/>
    <w:pPr>
      <w:spacing w:line="400" w:lineRule="atLeast"/>
      <w:ind w:firstLine="510"/>
    </w:pPr>
    <w:rPr>
      <w:spacing w:val="20"/>
      <w:szCs w:val="20"/>
    </w:rPr>
  </w:style>
  <w:style w:type="paragraph" w:styleId="4">
    <w:name w:val="Body Text"/>
    <w:basedOn w:val="1"/>
    <w:qFormat/>
    <w:uiPriority w:val="1"/>
    <w:rPr>
      <w:rFonts w:ascii="仿宋" w:hAnsi="仿宋" w:eastAsia="仿宋" w:cs="仿宋"/>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2020-12-17T04:58:00Z</dcterms:created>
  <dc:creator>Administrator</dc:creator>
  <cp:lastModifiedBy>yxp</cp:lastModifiedBy>
  <cp:lastPrinted>2024-04-12T04:54:48Z</cp:lastPrinted>
  <dcterms:modified xsi:type="dcterms:W3CDTF">2024-04-12T05:31:43Z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