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Times New Roman"/>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玛政发﹝2024﹞23号</w:t>
      </w:r>
    </w:p>
    <w:p>
      <w:pPr>
        <w:keepNext w:val="0"/>
        <w:keepLines w:val="0"/>
        <w:pageBreakBefore w:val="0"/>
        <w:widowControl w:val="0"/>
        <w:kinsoku/>
        <w:wordWrap/>
        <w:overflowPunct/>
        <w:topLinePunct w:val="0"/>
        <w:bidi w:val="0"/>
        <w:spacing w:line="560" w:lineRule="exact"/>
        <w:ind w:left="0" w:leftChars="0" w:right="0" w:rightChars="0" w:firstLine="400" w:firstLineChars="200"/>
        <w:jc w:val="left"/>
        <w:rPr>
          <w:rFonts w:hint="eastAsia" w:ascii="Times New Roman" w:hAnsi="Times New Roman" w:eastAsia="宋体"/>
          <w:kern w:val="0"/>
          <w:sz w:val="20"/>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玛纳斯县人民政府</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关于公布玛纳斯县（城区）国有建设用地</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Times New Roman" w:hAnsi="Times New Roman" w:eastAsia="宋体"/>
          <w:kern w:val="0"/>
          <w:sz w:val="20"/>
          <w:szCs w:val="20"/>
          <w:lang w:val="en-US" w:eastAsia="zh-CN"/>
        </w:rPr>
      </w:pPr>
      <w:r>
        <w:rPr>
          <w:rFonts w:hint="eastAsia" w:ascii="方正小标宋简体" w:hAnsi="方正小标宋简体" w:eastAsia="方正小标宋简体" w:cs="方正小标宋简体"/>
          <w:kern w:val="0"/>
          <w:sz w:val="44"/>
          <w:szCs w:val="44"/>
          <w:lang w:val="en-US" w:eastAsia="zh-CN"/>
        </w:rPr>
        <w:t>标定地价体系建设成果的通知</w:t>
      </w:r>
    </w:p>
    <w:p>
      <w:pPr>
        <w:keepNext w:val="0"/>
        <w:keepLines w:val="0"/>
        <w:pageBreakBefore w:val="0"/>
        <w:widowControl w:val="0"/>
        <w:kinsoku/>
        <w:wordWrap/>
        <w:overflowPunct/>
        <w:topLinePunct w:val="0"/>
        <w:bidi w:val="0"/>
        <w:spacing w:line="560" w:lineRule="exact"/>
        <w:ind w:left="0" w:leftChars="0" w:right="0" w:rightChars="0" w:firstLine="400" w:firstLineChars="200"/>
        <w:jc w:val="left"/>
        <w:rPr>
          <w:rFonts w:hint="eastAsia" w:ascii="Times New Roman" w:hAnsi="Times New Roman" w:eastAsia="宋体"/>
          <w:kern w:val="0"/>
          <w:sz w:val="20"/>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 w:firstLineChars="5"/>
        <w:jc w:val="both"/>
        <w:textAlignment w:val="bottom"/>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平原林场、工业园区管委会、湿地公园管理局、各乡镇人民政府、县人民政府各部门、各企事业单位</w:t>
      </w:r>
      <w:r>
        <w:rPr>
          <w:rFonts w:hint="eastAsia" w:ascii="楷体_GB2312" w:hAnsi="楷体_GB2312" w:eastAsia="楷体_GB2312" w:cs="楷体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color w:val="auto"/>
          <w:spacing w:val="0"/>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highlight w:val="none"/>
          <w:lang w:val="en-US" w:eastAsia="zh-CN" w:bidi="ar-SA"/>
        </w:rPr>
        <w:t>《玛纳斯县（城区）国有建设用地标定地价体系建设成果》已经玛纳斯县第十八届人民政府第36常务会议研究通过，现予以公布，请认真遵照执行。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color w:val="auto"/>
          <w:spacing w:val="0"/>
          <w:kern w:val="2"/>
          <w:sz w:val="32"/>
          <w:szCs w:val="32"/>
          <w:highlight w:val="none"/>
          <w:lang w:val="en-US" w:eastAsia="zh-CN" w:bidi="ar-SA"/>
        </w:rPr>
      </w:pPr>
    </w:p>
    <w:p>
      <w:pPr>
        <w:keepNext w:val="0"/>
        <w:keepLines w:val="0"/>
        <w:pageBreakBefore w:val="0"/>
        <w:widowControl w:val="0"/>
        <w:kinsoku/>
        <w:wordWrap/>
        <w:overflowPunct/>
        <w:topLinePunct w:val="0"/>
        <w:bidi w:val="0"/>
        <w:spacing w:line="560" w:lineRule="exact"/>
        <w:ind w:left="0" w:leftChars="0" w:right="0" w:rightChars="0"/>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0" w:rightChars="0" w:firstLine="4160" w:firstLineChars="1300"/>
        <w:contextualSpacing/>
        <w:jc w:val="both"/>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玛纳斯县人民政府</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0" w:rightChars="0" w:firstLine="4201" w:firstLineChars="1313"/>
        <w:contextualSpacing/>
        <w:jc w:val="both"/>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2024年</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lang w:eastAsia="zh-CN"/>
        </w:rPr>
        <w:t>月</w:t>
      </w:r>
      <w:r>
        <w:rPr>
          <w:rFonts w:hint="eastAsia" w:ascii="楷体_GB2312" w:hAnsi="楷体_GB2312" w:eastAsia="楷体_GB2312" w:cs="楷体_GB2312"/>
          <w:color w:val="auto"/>
          <w:sz w:val="32"/>
          <w:szCs w:val="32"/>
          <w:highlight w:val="none"/>
          <w:lang w:val="en-US" w:eastAsia="zh-CN"/>
        </w:rPr>
        <w:t>28</w:t>
      </w:r>
      <w:r>
        <w:rPr>
          <w:rFonts w:hint="eastAsia" w:ascii="楷体_GB2312" w:hAnsi="楷体_GB2312" w:eastAsia="楷体_GB2312" w:cs="楷体_GB2312"/>
          <w:color w:val="auto"/>
          <w:sz w:val="32"/>
          <w:szCs w:val="32"/>
          <w:highlight w:val="none"/>
          <w:lang w:eastAsia="zh-CN"/>
        </w:rPr>
        <w:t>日</w:t>
      </w:r>
    </w:p>
    <w:p>
      <w:pPr>
        <w:pStyle w:val="9"/>
        <w:keepNext w:val="0"/>
        <w:keepLines w:val="0"/>
        <w:pageBreakBefore w:val="0"/>
        <w:widowControl w:val="0"/>
        <w:kinsoku/>
        <w:wordWrap/>
        <w:overflowPunct/>
        <w:topLinePunct w:val="0"/>
        <w:bidi w:val="0"/>
        <w:spacing w:line="560" w:lineRule="exact"/>
        <w:ind w:left="0" w:leftChars="0" w:right="0" w:rightChars="0"/>
        <w:rPr>
          <w:rFonts w:hint="eastAsia" w:ascii="仿宋_GB2312" w:eastAsia="仿宋_GB2312" w:cs="Times New Roman"/>
          <w:color w:val="auto"/>
          <w:spacing w:val="0"/>
          <w:kern w:val="2"/>
          <w:sz w:val="32"/>
          <w:szCs w:val="32"/>
          <w:highlight w:val="none"/>
          <w:lang w:val="en-US" w:eastAsia="zh-CN" w:bidi="ar-SA"/>
        </w:rPr>
      </w:pPr>
    </w:p>
    <w:p>
      <w:pPr>
        <w:keepNext w:val="0"/>
        <w:keepLines w:val="0"/>
        <w:pageBreakBefore w:val="0"/>
        <w:widowControl w:val="0"/>
        <w:kinsoku/>
        <w:wordWrap/>
        <w:overflowPunct/>
        <w:topLinePunct w:val="0"/>
        <w:bidi w:val="0"/>
        <w:spacing w:line="560" w:lineRule="exact"/>
        <w:ind w:left="0" w:leftChars="0" w:right="0" w:rightChars="0"/>
        <w:rPr>
          <w:rFonts w:hint="eastAsia"/>
          <w:lang w:val="en-US" w:eastAsia="zh-CN"/>
        </w:rPr>
      </w:pPr>
    </w:p>
    <w:p>
      <w:pPr>
        <w:pStyle w:val="9"/>
        <w:keepNext w:val="0"/>
        <w:keepLines w:val="0"/>
        <w:pageBreakBefore w:val="0"/>
        <w:widowControl w:val="0"/>
        <w:kinsoku/>
        <w:wordWrap/>
        <w:overflowPunct/>
        <w:topLinePunct w:val="0"/>
        <w:bidi w:val="0"/>
        <w:spacing w:line="560" w:lineRule="exact"/>
        <w:ind w:left="0" w:leftChars="0" w:right="0" w:righ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pacing w:val="0"/>
          <w:kern w:val="2"/>
          <w:sz w:val="44"/>
          <w:szCs w:val="44"/>
          <w:highlight w:val="none"/>
          <w:lang w:val="en-US" w:eastAsia="zh-CN" w:bidi="ar-SA"/>
        </w:rPr>
      </w:pPr>
      <w:r>
        <w:rPr>
          <w:rFonts w:hint="eastAsia" w:ascii="方正小标宋简体" w:hAnsi="方正小标宋简体" w:eastAsia="方正小标宋简体" w:cs="方正小标宋简体"/>
          <w:color w:val="auto"/>
          <w:spacing w:val="0"/>
          <w:kern w:val="2"/>
          <w:sz w:val="44"/>
          <w:szCs w:val="44"/>
          <w:highlight w:val="none"/>
          <w:lang w:val="en-US" w:eastAsia="zh-CN" w:bidi="ar-SA"/>
        </w:rPr>
        <w:t>玛纳斯县（城区）国有建设用地标定地价体系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pacing w:val="0"/>
          <w:kern w:val="2"/>
          <w:sz w:val="44"/>
          <w:szCs w:val="44"/>
          <w:highlight w:val="none"/>
          <w:lang w:val="en-US" w:eastAsia="zh-CN" w:bidi="ar-SA"/>
        </w:rPr>
      </w:pPr>
      <w:r>
        <w:rPr>
          <w:rFonts w:hint="eastAsia" w:ascii="方正小标宋简体" w:hAnsi="方正小标宋简体" w:eastAsia="方正小标宋简体" w:cs="方正小标宋简体"/>
          <w:color w:val="auto"/>
          <w:spacing w:val="0"/>
          <w:kern w:val="2"/>
          <w:sz w:val="44"/>
          <w:szCs w:val="44"/>
          <w:highlight w:val="none"/>
          <w:lang w:val="en-US" w:eastAsia="zh-CN" w:bidi="ar-SA"/>
        </w:rPr>
        <w:t>建设成果</w:t>
      </w:r>
    </w:p>
    <w:p>
      <w:pPr>
        <w:pStyle w:val="2"/>
        <w:rPr>
          <w:rFonts w:hint="eastAsia"/>
          <w:lang w:val="en-US" w:eastAsia="zh-CN"/>
        </w:rPr>
      </w:pPr>
    </w:p>
    <w:p>
      <w:pPr>
        <w:pStyle w:val="2"/>
        <w:keepNext w:val="0"/>
        <w:keepLines w:val="0"/>
        <w:pageBreakBefore w:val="0"/>
        <w:widowControl w:val="0"/>
        <w:kinsoku/>
        <w:wordWrap/>
        <w:overflowPunct/>
        <w:topLinePunct w:val="0"/>
        <w:bidi w:val="0"/>
        <w:spacing w:line="560" w:lineRule="exact"/>
        <w:ind w:left="0" w:leftChars="0" w:right="0" w:rightChars="0"/>
        <w:rPr>
          <w:rFonts w:hint="eastAsia" w:ascii="仿宋_GB2312" w:eastAsia="仿宋_GB2312" w:cs="Times New Roman"/>
          <w:color w:val="auto"/>
          <w:spacing w:val="0"/>
          <w:kern w:val="2"/>
          <w:sz w:val="32"/>
          <w:szCs w:val="32"/>
          <w:highlight w:val="none"/>
          <w:lang w:val="en-US" w:eastAsia="zh-CN" w:bidi="ar-SA"/>
        </w:rPr>
      </w:pPr>
      <w:r>
        <w:rPr>
          <w:rFonts w:hint="eastAsia" w:ascii="仿宋_GB2312" w:eastAsia="仿宋_GB2312" w:cs="Times New Roman"/>
          <w:color w:val="auto"/>
          <w:spacing w:val="0"/>
          <w:kern w:val="2"/>
          <w:sz w:val="32"/>
          <w:szCs w:val="32"/>
          <w:highlight w:val="none"/>
          <w:lang w:val="en-US" w:eastAsia="zh-CN" w:bidi="ar-SA"/>
        </w:rPr>
        <w:t>为强化土地资产管理，建立公示地价动态调整机制，充分发挥地价杠杆的重要作用，有效维护土地市场的稳定和健康发展。</w:t>
      </w:r>
      <w:r>
        <w:rPr>
          <w:rFonts w:hint="eastAsia" w:ascii="仿宋_GB2312" w:eastAsia="仿宋_GB2312"/>
          <w:sz w:val="32"/>
          <w:szCs w:val="32"/>
          <w:lang w:val="en-US" w:eastAsia="zh-CN"/>
        </w:rPr>
        <w:t>根据</w:t>
      </w:r>
      <w:r>
        <w:rPr>
          <w:rFonts w:hint="eastAsia" w:ascii="仿宋_GB2312" w:hAnsi="仿宋_GB2312" w:eastAsia="仿宋_GB2312" w:cs="仿宋_GB2312"/>
          <w:sz w:val="32"/>
          <w:szCs w:val="32"/>
          <w:lang w:eastAsia="zh-CN"/>
        </w:rPr>
        <w:t>《自然资源部办公厅关于部署开展</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年度自然资源评价评估工作的通知》（自然资办发〔20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号）、《关于做好自治区2021年度自然资源评价评估有关工作的通知》（新自然资办函〔2021〕18号）文件要求</w:t>
      </w:r>
      <w:r>
        <w:rPr>
          <w:rFonts w:hint="eastAsia" w:ascii="仿宋_GB2312" w:eastAsia="仿宋_GB2312"/>
          <w:sz w:val="32"/>
          <w:szCs w:val="32"/>
          <w:lang w:val="en-US" w:eastAsia="zh-CN"/>
        </w:rPr>
        <w:t>，我县完成了</w:t>
      </w:r>
      <w:r>
        <w:rPr>
          <w:rFonts w:hint="eastAsia" w:ascii="仿宋_GB2312" w:hAnsi="仿宋_GB2312" w:eastAsia="仿宋_GB2312" w:cs="仿宋_GB2312"/>
          <w:sz w:val="32"/>
          <w:szCs w:val="32"/>
          <w:lang w:eastAsia="zh-CN"/>
        </w:rPr>
        <w:t>玛纳斯县（城区）国有建设用地标定地价体系建设成果编制工作，</w:t>
      </w:r>
      <w:r>
        <w:rPr>
          <w:rFonts w:hint="eastAsia" w:ascii="仿宋_GB2312" w:eastAsia="仿宋_GB2312" w:cs="Times New Roman"/>
          <w:color w:val="auto"/>
          <w:spacing w:val="0"/>
          <w:kern w:val="2"/>
          <w:sz w:val="32"/>
          <w:szCs w:val="32"/>
          <w:highlight w:val="none"/>
          <w:lang w:val="en-US" w:eastAsia="zh-CN" w:bidi="ar-SA"/>
        </w:rPr>
        <w:t>现将建设成果予以公布实施（详见附件），并就有关事项通知如下：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一、标定地价公示范围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仿宋_GB2312" w:hAnsi="仿宋_GB2312" w:eastAsia="仿宋_GB2312" w:cs="仿宋_GB2312"/>
          <w:color w:val="auto"/>
          <w:spacing w:val="0"/>
          <w:kern w:val="2"/>
          <w:sz w:val="32"/>
          <w:szCs w:val="32"/>
          <w:lang w:val="en-US" w:eastAsia="zh-CN" w:bidi="zh-CN"/>
        </w:rPr>
        <w:t>根据玛纳斯县中心城区用地特点及土地不同用途空间分布特征，确定本次玛纳斯县城区国有建设用地标定地价的公示范围为玛纳斯县中心城区内已建成的国有建设用地，与城区基</w:t>
      </w:r>
      <w:r>
        <w:rPr>
          <w:rFonts w:hint="eastAsia" w:ascii="仿宋_GB2312" w:hAnsi="仿宋_GB2312" w:eastAsia="仿宋_GB2312" w:cs="仿宋_GB2312"/>
          <w:spacing w:val="0"/>
          <w:kern w:val="2"/>
          <w:sz w:val="32"/>
          <w:szCs w:val="32"/>
          <w:lang w:val="en-US" w:eastAsia="zh-CN" w:bidi="zh-CN"/>
        </w:rPr>
        <w:t>准地价范围一致，覆盖范围28.7778平方公里。</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二、标定区域</w:t>
      </w:r>
    </w:p>
    <w:p>
      <w:pPr>
        <w:pStyle w:val="9"/>
        <w:keepNext w:val="0"/>
        <w:keepLines w:val="0"/>
        <w:pageBreakBefore w:val="0"/>
        <w:widowControl w:val="0"/>
        <w:kinsoku/>
        <w:wordWrap/>
        <w:overflowPunct/>
        <w:topLinePunct w:val="0"/>
        <w:bidi w:val="0"/>
        <w:spacing w:line="560" w:lineRule="exact"/>
        <w:ind w:left="0" w:leftChars="0" w:right="0" w:rightChars="0"/>
        <w:rPr>
          <w:rFonts w:hint="eastAsia" w:ascii="仿宋_GB2312" w:hAnsi="仿宋_GB2312" w:eastAsia="仿宋_GB2312" w:cs="仿宋_GB2312"/>
          <w:spacing w:val="0"/>
          <w:kern w:val="2"/>
          <w:sz w:val="32"/>
          <w:szCs w:val="32"/>
          <w:lang w:val="en-US" w:eastAsia="zh-CN" w:bidi="zh-CN"/>
        </w:rPr>
      </w:pPr>
      <w:r>
        <w:rPr>
          <w:rFonts w:hint="eastAsia" w:ascii="仿宋_GB2312" w:hAnsi="仿宋_GB2312" w:eastAsia="仿宋_GB2312" w:cs="仿宋_GB2312"/>
          <w:spacing w:val="0"/>
          <w:kern w:val="2"/>
          <w:sz w:val="32"/>
          <w:szCs w:val="32"/>
          <w:lang w:val="en-US" w:eastAsia="zh-CN" w:bidi="zh-CN"/>
        </w:rPr>
        <w:t>共划分43个标定区域（标准宗地），住宅用地</w:t>
      </w:r>
      <w:r>
        <w:rPr>
          <w:rFonts w:hint="eastAsia" w:ascii="仿宋_GB2312" w:hAnsi="仿宋_GB2312" w:eastAsia="仿宋_GB2312" w:cs="仿宋_GB2312"/>
          <w:spacing w:val="0"/>
          <w:kern w:val="2"/>
          <w:sz w:val="32"/>
          <w:szCs w:val="32"/>
          <w:lang w:val="zh-CN" w:eastAsia="zh-CN" w:bidi="zh-CN"/>
        </w:rPr>
        <w:t>划分</w:t>
      </w:r>
      <w:r>
        <w:rPr>
          <w:rFonts w:hint="eastAsia" w:ascii="仿宋_GB2312" w:hAnsi="仿宋_GB2312" w:eastAsia="仿宋_GB2312" w:cs="仿宋_GB2312"/>
          <w:spacing w:val="0"/>
          <w:kern w:val="2"/>
          <w:sz w:val="32"/>
          <w:szCs w:val="32"/>
          <w:lang w:val="en-US" w:eastAsia="zh-CN" w:bidi="zh-CN"/>
        </w:rPr>
        <w:t>16个标定区域，商服用地</w:t>
      </w:r>
      <w:r>
        <w:rPr>
          <w:rFonts w:hint="eastAsia" w:ascii="仿宋_GB2312" w:hAnsi="仿宋_GB2312" w:eastAsia="仿宋_GB2312" w:cs="仿宋_GB2312"/>
          <w:spacing w:val="0"/>
          <w:kern w:val="2"/>
          <w:sz w:val="32"/>
          <w:szCs w:val="32"/>
          <w:lang w:val="zh-CN" w:eastAsia="zh-CN" w:bidi="zh-CN"/>
        </w:rPr>
        <w:t>共划分</w:t>
      </w:r>
      <w:r>
        <w:rPr>
          <w:rFonts w:hint="eastAsia" w:ascii="仿宋_GB2312" w:hAnsi="仿宋_GB2312" w:eastAsia="仿宋_GB2312" w:cs="仿宋_GB2312"/>
          <w:spacing w:val="0"/>
          <w:kern w:val="2"/>
          <w:sz w:val="32"/>
          <w:szCs w:val="32"/>
          <w:lang w:val="en-US" w:eastAsia="zh-CN" w:bidi="zh-CN"/>
        </w:rPr>
        <w:t>17个标定区域，工业用地</w:t>
      </w:r>
      <w:r>
        <w:rPr>
          <w:rFonts w:hint="eastAsia" w:ascii="仿宋_GB2312" w:hAnsi="仿宋_GB2312" w:eastAsia="仿宋_GB2312" w:cs="仿宋_GB2312"/>
          <w:spacing w:val="0"/>
          <w:kern w:val="2"/>
          <w:sz w:val="32"/>
          <w:szCs w:val="32"/>
          <w:lang w:val="zh-CN" w:eastAsia="zh-CN" w:bidi="zh-CN"/>
        </w:rPr>
        <w:t>划分</w:t>
      </w:r>
      <w:r>
        <w:rPr>
          <w:rFonts w:hint="eastAsia" w:ascii="仿宋_GB2312" w:hAnsi="仿宋_GB2312" w:eastAsia="仿宋_GB2312" w:cs="仿宋_GB2312"/>
          <w:spacing w:val="0"/>
          <w:kern w:val="2"/>
          <w:sz w:val="32"/>
          <w:szCs w:val="32"/>
          <w:lang w:val="en-US" w:eastAsia="zh-CN" w:bidi="zh-CN"/>
        </w:rPr>
        <w:t>6个标定区域，公服用地</w:t>
      </w:r>
      <w:r>
        <w:rPr>
          <w:rFonts w:hint="eastAsia" w:ascii="仿宋_GB2312" w:hAnsi="仿宋_GB2312" w:eastAsia="仿宋_GB2312" w:cs="仿宋_GB2312"/>
          <w:spacing w:val="0"/>
          <w:kern w:val="2"/>
          <w:sz w:val="32"/>
          <w:szCs w:val="32"/>
          <w:lang w:val="zh-CN" w:eastAsia="zh-CN" w:bidi="zh-CN"/>
        </w:rPr>
        <w:t>划分</w:t>
      </w:r>
      <w:r>
        <w:rPr>
          <w:rFonts w:hint="eastAsia" w:ascii="仿宋_GB2312" w:hAnsi="仿宋_GB2312" w:eastAsia="仿宋_GB2312" w:cs="仿宋_GB2312"/>
          <w:spacing w:val="0"/>
          <w:kern w:val="2"/>
          <w:sz w:val="32"/>
          <w:szCs w:val="32"/>
          <w:lang w:val="en-US" w:eastAsia="zh-CN" w:bidi="zh-CN"/>
        </w:rPr>
        <w:t>4个标定区域，标定区域面积为2511.38公顷，标准宗地面积为95.11公顷。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val="zh-CN" w:eastAsia="zh-CN"/>
        </w:rPr>
        <w:t>标定</w:t>
      </w:r>
      <w:r>
        <w:rPr>
          <w:rFonts w:hint="eastAsia" w:ascii="黑体" w:hAnsi="黑体" w:eastAsia="黑体" w:cs="黑体"/>
          <w:b w:val="0"/>
          <w:bCs w:val="0"/>
          <w:color w:val="auto"/>
          <w:sz w:val="32"/>
          <w:szCs w:val="32"/>
          <w:lang w:val="en-US" w:eastAsia="zh-CN"/>
        </w:rPr>
        <w:t>地价内涵</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pacing w:val="0"/>
          <w:kern w:val="2"/>
          <w:sz w:val="32"/>
          <w:szCs w:val="32"/>
          <w:lang w:val="zh-CN" w:eastAsia="zh-CN" w:bidi="zh-CN"/>
        </w:rPr>
      </w:pPr>
      <w:r>
        <w:rPr>
          <w:rFonts w:hint="eastAsia" w:ascii="仿宋_GB2312" w:hAnsi="仿宋_GB2312" w:eastAsia="仿宋_GB2312" w:cs="仿宋_GB2312"/>
          <w:spacing w:val="0"/>
          <w:kern w:val="2"/>
          <w:sz w:val="32"/>
          <w:szCs w:val="32"/>
          <w:lang w:val="en-US" w:eastAsia="zh-CN" w:bidi="zh-CN"/>
        </w:rPr>
        <w:t>本次玛纳斯县城区国有建设用地标定地价内涵：估价期日为2023年1月1日，土地用途为商服用地、住宅用地、公服用地，在现状容积率和实际开发程度下按照各用途的楼面地价；工业用地为现状容积率和开发程度下地面地价</w:t>
      </w:r>
      <w:r>
        <w:rPr>
          <w:rFonts w:hint="eastAsia" w:ascii="仿宋_GB2312" w:hAnsi="仿宋_GB2312" w:eastAsia="仿宋_GB2312" w:cs="仿宋_GB2312"/>
          <w:spacing w:val="0"/>
          <w:kern w:val="2"/>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（一）权利特征。</w:t>
      </w:r>
      <w:r>
        <w:rPr>
          <w:rFonts w:hint="eastAsia" w:ascii="仿宋_GB2312" w:hAnsi="仿宋_GB2312" w:eastAsia="仿宋_GB2312" w:cs="仿宋_GB2312"/>
          <w:spacing w:val="0"/>
          <w:kern w:val="2"/>
          <w:sz w:val="32"/>
          <w:szCs w:val="32"/>
          <w:lang w:val="en-US" w:eastAsia="zh-CN" w:bidi="zh-CN"/>
        </w:rPr>
        <w:t>完整的土地权利价格，不考虑抵押权、地役权等他项权利的限制。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（二）土地使用权类型现状。</w:t>
      </w:r>
      <w:r>
        <w:rPr>
          <w:rFonts w:hint="eastAsia" w:ascii="仿宋_GB2312" w:hAnsi="仿宋_GB2312" w:eastAsia="仿宋_GB2312" w:cs="仿宋_GB2312"/>
          <w:spacing w:val="0"/>
          <w:kern w:val="2"/>
          <w:sz w:val="32"/>
          <w:szCs w:val="32"/>
          <w:lang w:val="en-US" w:eastAsia="zh-CN" w:bidi="zh-CN"/>
        </w:rPr>
        <w:t>按证载或经批准的土地使用权类型为依据；对于近期规划建设用地内拟出让土地，设定为出让。</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（三）容积率。</w:t>
      </w:r>
      <w:r>
        <w:rPr>
          <w:rFonts w:hint="eastAsia" w:ascii="仿宋_GB2312" w:hAnsi="仿宋_GB2312" w:eastAsia="仿宋_GB2312" w:cs="仿宋_GB2312"/>
          <w:spacing w:val="0"/>
          <w:kern w:val="2"/>
          <w:sz w:val="32"/>
          <w:szCs w:val="32"/>
          <w:lang w:val="en-US" w:eastAsia="zh-CN" w:bidi="zh-CN"/>
        </w:rPr>
        <w:t>合法现状容积率或规划容积率（地上）。</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（四）开发程度。</w:t>
      </w:r>
      <w:r>
        <w:rPr>
          <w:rFonts w:hint="eastAsia" w:ascii="仿宋_GB2312" w:hAnsi="仿宋_GB2312" w:eastAsia="仿宋_GB2312" w:cs="仿宋_GB2312"/>
          <w:spacing w:val="0"/>
          <w:kern w:val="2"/>
          <w:sz w:val="32"/>
          <w:szCs w:val="32"/>
          <w:lang w:val="en-US" w:eastAsia="zh-CN" w:bidi="zh-CN"/>
        </w:rPr>
        <w:t>根据宗地合法现状条件设定。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（五）使用年期的设定。</w:t>
      </w:r>
      <w:r>
        <w:rPr>
          <w:rFonts w:hint="eastAsia" w:ascii="仿宋_GB2312" w:hAnsi="仿宋_GB2312" w:eastAsia="仿宋_GB2312" w:cs="仿宋_GB2312"/>
          <w:spacing w:val="0"/>
          <w:kern w:val="2"/>
          <w:sz w:val="32"/>
          <w:szCs w:val="32"/>
          <w:lang w:val="en-US" w:eastAsia="zh-CN" w:bidi="zh-CN"/>
        </w:rPr>
        <w:t>土地使用年限为各用途土地的法定最高使用年限，即住宅用地70年，商服用地40年，工业用地50年，公服用地50年。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（六）价格表现形式。</w:t>
      </w:r>
      <w:r>
        <w:rPr>
          <w:rFonts w:hint="eastAsia" w:ascii="仿宋_GB2312" w:hAnsi="仿宋_GB2312" w:eastAsia="仿宋_GB2312" w:cs="仿宋_GB2312"/>
          <w:spacing w:val="0"/>
          <w:kern w:val="2"/>
          <w:sz w:val="32"/>
          <w:szCs w:val="32"/>
          <w:lang w:val="en-US" w:eastAsia="zh-CN" w:bidi="zh-CN"/>
        </w:rPr>
        <w:t>对于容积率高于1.0的商业、住宅和公服用地土地价格表现形式为楼面地价和地面地价。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（七）价格类型。</w:t>
      </w:r>
      <w:r>
        <w:rPr>
          <w:rFonts w:hint="eastAsia" w:ascii="仿宋_GB2312" w:hAnsi="仿宋_GB2312" w:eastAsia="仿宋_GB2312" w:cs="仿宋_GB2312"/>
          <w:spacing w:val="0"/>
          <w:kern w:val="2"/>
          <w:sz w:val="32"/>
          <w:szCs w:val="32"/>
          <w:lang w:val="en-US" w:eastAsia="zh-CN" w:bidi="zh-CN"/>
        </w:rPr>
        <w:t>正常市场价格，不考虑招商、配建等政策或特殊经营的地价优惠。</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pacing w:val="0"/>
          <w:kern w:val="2"/>
          <w:sz w:val="32"/>
          <w:szCs w:val="32"/>
          <w:lang w:val="en-US" w:eastAsia="zh-CN" w:bidi="zh-CN"/>
        </w:rPr>
      </w:pPr>
      <w:r>
        <w:rPr>
          <w:rFonts w:hint="eastAsia" w:ascii="楷体_GB2312" w:hAnsi="楷体_GB2312" w:eastAsia="楷体_GB2312" w:cs="楷体_GB2312"/>
          <w:b/>
          <w:bCs/>
          <w:spacing w:val="0"/>
          <w:kern w:val="2"/>
          <w:sz w:val="32"/>
          <w:szCs w:val="32"/>
          <w:lang w:val="en-US" w:eastAsia="zh-CN" w:bidi="zh-CN"/>
        </w:rPr>
        <w:t>（八）市场假设。</w:t>
      </w:r>
      <w:r>
        <w:rPr>
          <w:rFonts w:hint="eastAsia" w:ascii="仿宋_GB2312" w:hAnsi="仿宋_GB2312" w:eastAsia="仿宋_GB2312" w:cs="仿宋_GB2312"/>
          <w:spacing w:val="0"/>
          <w:kern w:val="2"/>
          <w:sz w:val="32"/>
          <w:szCs w:val="32"/>
          <w:lang w:val="en-US" w:eastAsia="zh-CN" w:bidi="zh-CN"/>
        </w:rPr>
        <w:t>市场特征为平稳正常情况、公开竞争市场条件。</w:t>
      </w:r>
    </w:p>
    <w:p>
      <w:pPr>
        <w:pStyle w:val="10"/>
        <w:keepNext w:val="0"/>
        <w:keepLines w:val="0"/>
        <w:pageBreakBefore w:val="0"/>
        <w:widowControl w:val="0"/>
        <w:kinsoku/>
        <w:wordWrap/>
        <w:overflowPunct/>
        <w:topLinePunct w:val="0"/>
        <w:bidi w:val="0"/>
        <w:spacing w:line="560" w:lineRule="exact"/>
        <w:ind w:left="0" w:leftChars="0" w:right="0" w:rightChars="0"/>
        <w:rPr>
          <w:rFonts w:hint="eastAsia" w:ascii="仿宋_GB2312" w:hAnsi="仿宋_GB2312" w:eastAsia="仿宋_GB2312" w:cs="仿宋_GB2312"/>
          <w:color w:val="auto"/>
          <w:spacing w:val="0"/>
          <w:kern w:val="2"/>
          <w:sz w:val="32"/>
          <w:szCs w:val="32"/>
          <w:highlight w:val="no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附件：1.玛纳斯县（城区）标定地价公示信息表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2.玛纳斯县（城区）标定地价图件</w:t>
      </w: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sectPr>
          <w:footerReference r:id="rId3" w:type="default"/>
          <w:pgSz w:w="11906" w:h="16838"/>
          <w:pgMar w:top="1417" w:right="1417" w:bottom="1417" w:left="1417" w:header="851" w:footer="992" w:gutter="0"/>
          <w:pgNumType w:fmt="numberInDash"/>
          <w:cols w:space="425" w:num="1"/>
          <w:docGrid w:type="lines" w:linePitch="312" w:charSpace="0"/>
        </w:sect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pStyle w:val="3"/>
        <w:keepNext w:val="0"/>
        <w:keepLines w:val="0"/>
        <w:pageBreakBefore w:val="0"/>
        <w:widowControl w:val="0"/>
        <w:kinsoku/>
        <w:wordWrap/>
        <w:overflowPunct/>
        <w:topLinePunct w:val="0"/>
        <w:autoSpaceDN/>
        <w:bidi w:val="0"/>
        <w:spacing w:after="0" w:line="560" w:lineRule="exact"/>
        <w:ind w:left="0" w:leftChars="0" w:right="0" w:rightChars="0" w:firstLine="0" w:firstLineChars="0"/>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right="0" w:rightChars="0" w:firstLine="280" w:firstLineChars="10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抄送：县委，人大，政协。</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560" w:lineRule="exact"/>
        <w:ind w:left="0" w:leftChars="0" w:right="0" w:rightChars="0" w:firstLine="280" w:firstLineChars="100"/>
        <w:jc w:val="both"/>
        <w:textAlignment w:val="auto"/>
        <w:rPr>
          <w:rFonts w:hint="eastAsia"/>
          <w:lang w:val="en-US" w:eastAsia="zh-CN"/>
        </w:rPr>
      </w:pPr>
      <w:r>
        <w:rPr>
          <w:rFonts w:hint="eastAsia" w:ascii="仿宋_GB2312" w:hAnsi="仿宋_GB2312" w:eastAsia="仿宋_GB2312" w:cs="仿宋_GB2312"/>
          <w:color w:val="auto"/>
          <w:spacing w:val="0"/>
          <w:w w:val="100"/>
          <w:sz w:val="28"/>
          <w:szCs w:val="28"/>
          <w:lang w:val="en-US" w:eastAsia="zh-CN"/>
        </w:rPr>
        <w:t xml:space="preserve">玛纳斯县人民政府办公室                 </w:t>
      </w:r>
      <w:r>
        <w:rPr>
          <w:rFonts w:hint="eastAsia" w:ascii="仿宋_GB2312" w:hAnsi="仿宋_GB2312" w:eastAsia="仿宋_GB2312" w:cs="仿宋_GB2312"/>
          <w:color w:val="auto"/>
          <w:spacing w:val="0"/>
          <w:sz w:val="28"/>
          <w:szCs w:val="28"/>
          <w:lang w:val="en-US" w:eastAsia="zh-CN"/>
        </w:rPr>
        <w:t xml:space="preserve">    2024年3月28日印发</w:t>
      </w:r>
    </w:p>
    <w:sectPr>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中國龍豪行書">
    <w:panose1 w:val="02010609000101010101"/>
    <w:charset w:val="00"/>
    <w:family w:val="auto"/>
    <w:pitch w:val="default"/>
    <w:sig w:usb0="00000000" w:usb1="00000000" w:usb2="00000000" w:usb3="00000000" w:csb0="00000000" w:csb1="00000000"/>
  </w:font>
  <w:font w:name="Californian FB">
    <w:panose1 w:val="0207040306080B030204"/>
    <w:charset w:val="00"/>
    <w:family w:val="auto"/>
    <w:pitch w:val="default"/>
    <w:sig w:usb0="00000003" w:usb1="00000000" w:usb2="00000000" w:usb3="00000000" w:csb0="20000001" w:csb1="00000000"/>
  </w:font>
  <w:font w:name="书体坊硬笔行书3500">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書法家行書體">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500EC"/>
    <w:rsid w:val="1B7429CD"/>
    <w:rsid w:val="1EC91F95"/>
    <w:rsid w:val="256500EC"/>
    <w:rsid w:val="2F406850"/>
    <w:rsid w:val="421B75CC"/>
    <w:rsid w:val="429459BA"/>
    <w:rsid w:val="52B90DB6"/>
    <w:rsid w:val="54E72AF6"/>
    <w:rsid w:val="7C20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uiPriority w:val="0"/>
    <w:pPr>
      <w:ind w:firstLine="420" w:firstLineChars="200"/>
    </w:pPr>
  </w:style>
  <w:style w:type="paragraph" w:styleId="3">
    <w:name w:val="Body Text First Indent"/>
    <w:basedOn w:val="4"/>
    <w:qFormat/>
    <w:uiPriority w:val="0"/>
    <w:pPr>
      <w:ind w:firstLine="420" w:firstLineChars="100"/>
    </w:pPr>
    <w:rPr>
      <w:rFonts w:ascii="Times New Roman" w:hAnsi="Times New Roman" w:eastAsia="宋体" w:cs="Times New Roman"/>
    </w:rPr>
  </w:style>
  <w:style w:type="paragraph" w:styleId="4">
    <w:name w:val="Body Text"/>
    <w:basedOn w:val="1"/>
    <w:next w:val="3"/>
    <w:qFormat/>
    <w:uiPriority w:val="0"/>
    <w:pPr>
      <w:spacing w:after="12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basedOn w:val="1"/>
    <w:next w:val="1"/>
    <w:qFormat/>
    <w:uiPriority w:val="0"/>
    <w:pPr>
      <w:spacing w:line="400" w:lineRule="atLeast"/>
      <w:ind w:firstLine="510"/>
    </w:pPr>
    <w:rPr>
      <w:spacing w:val="20"/>
      <w:szCs w:val="20"/>
    </w:rPr>
  </w:style>
  <w:style w:type="paragraph" w:customStyle="1" w:styleId="10">
    <w:name w:val="UserStyle_0"/>
    <w:basedOn w:val="1"/>
    <w:next w:val="1"/>
    <w:qFormat/>
    <w:uiPriority w:val="0"/>
    <w:pPr>
      <w:jc w:val="both"/>
      <w:textAlignment w:val="baseline"/>
    </w:pPr>
    <w:rPr>
      <w:rFonts w:ascii="Calibri" w:hAnsi="Calibri" w:eastAsia="宋体"/>
      <w:spacing w:val="20"/>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2024-03-22T03:32:00Z</dcterms:created>
  <dc:creator>Administrator</dc:creator>
  <cp:lastModifiedBy>yxp</cp:lastModifiedBy>
  <cp:lastPrinted>2024-03-28T11:06:09Z</cp:lastPrinted>
  <dcterms:modified xsi:type="dcterms:W3CDTF">2024-03-28T11:08:25Z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